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Fastest Growth in Spending</w:t>
      </w:r>
    </w:p>
    <w:p>
      <w:pPr>
        <w:jc w:val="both"/>
      </w:pPr>
      <w:r>
        <w:rPr>
          <w:rFonts w:ascii="Arial" w:hAnsi="Arial"/>
          <w:sz w:val="24"/>
        </w:rPr>
        <w:br/>
        <w:t xml:space="preserve"> This report identifies the cities or categories showing the fastest growth in spending over a defined period. Such insights can help understand emerging trends and growth areas.</w:t>
      </w:r>
    </w:p>
    <w:p>
      <w:r>
        <w:br/>
        <w:t>The following trends are observed:</w:t>
        <w:br/>
      </w:r>
    </w:p>
    <w:p>
      <w:pPr>
        <w:jc w:val="both"/>
      </w:pPr>
      <w:r>
        <w:rPr>
          <w:b/>
        </w:rPr>
        <w:t xml:space="preserve">Overview: </w:t>
      </w:r>
      <w:r>
        <w:t>The data provided represents transactions made by a Platinum credit cardholder, totaling over ₹1 billion in spending. This significant amount indicates a high-spending individual or entity, offering insights into their spending behavior and budget allocation.</w:t>
      </w:r>
    </w:p>
    <w:p>
      <w:pPr>
        <w:jc w:val="both"/>
      </w:pPr>
      <w:r>
        <w:rPr>
          <w:b/>
        </w:rPr>
        <w:t xml:space="preserve">Category Dominance: </w:t>
      </w:r>
      <w:r>
        <w:t>The dominant category here is 'Others', which accounts for almost the entire spending amount. This indicates that the cardholder's expenses are diverse and spread across various categories not specified in the provided data.</w:t>
      </w:r>
    </w:p>
    <w:p>
      <w:pPr>
        <w:jc w:val="both"/>
      </w:pPr>
      <w:r>
        <w:rPr>
          <w:b/>
        </w:rPr>
        <w:t xml:space="preserve">Budget Allocation: </w:t>
      </w:r>
      <w:r>
        <w:t>With the majority of spending falling into the 'Others' category, it suggests that the cardholder's budget is allocated to a wide range of expenses. This diversity in spending could be indicative of a varied lifestyle or business-related costs.</w:t>
      </w:r>
    </w:p>
    <w:p>
      <w:pPr>
        <w:jc w:val="both"/>
      </w:pPr>
      <w:r>
        <w:rPr>
          <w:b/>
        </w:rPr>
        <w:t xml:space="preserve">Behavior Insights: </w:t>
      </w:r>
      <w:r>
        <w:t>The high spending in the 'Others' category could be indicative of a preference for diverse purchases or a reflection of expenses that do not fit into traditional categories. It suggests that the cardholder may have unique spending habits or requirements that differ from typical patterns.</w:t>
      </w:r>
    </w:p>
    <w:p>
      <w:pPr>
        <w:jc w:val="both"/>
      </w:pPr>
      <w:r>
        <w:rPr>
          <w:b/>
        </w:rPr>
        <w:t xml:space="preserve">Suggestions for Cost Savings: </w:t>
      </w:r>
      <w:r>
        <w:t>Without a breakdown of the 'Others' category, specific cost-saving measures are challenging to pinpoint. However, a detailed analysis of this category could reveal areas where spending could be optimized. It may be beneficial to categorize these expenses further to identify potential savings opportunities.</w:t>
      </w:r>
    </w:p>
    <w:p>
      <w:pPr>
        <w:jc w:val="both"/>
      </w:pPr>
      <w:r>
        <w:rPr>
          <w:b/>
        </w:rPr>
        <w:t xml:space="preserve">Budget Adjustments: </w:t>
      </w:r>
      <w:r>
        <w:t>Considering the significant spending in the 'Others' category, a review of budget allocations is recommended. Identifying the specific nature of these expenses could help adjust the budget accordingly. External factors, such as market trends and changing consumer behaviors, should also be considered when making budget adjustments to align with evolving needs and preferences.</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card_type</w:t>
            </w:r>
          </w:p>
        </w:tc>
        <w:tc>
          <w:tcPr>
            <w:tcW w:type="dxa" w:w="2160"/>
          </w:tcPr>
          <w:p>
            <w:pPr>
              <w:jc w:val="center"/>
            </w:pPr>
            <w:r>
              <w:t>transaction_count</w:t>
            </w:r>
          </w:p>
        </w:tc>
        <w:tc>
          <w:tcPr>
            <w:tcW w:type="dxa" w:w="2160"/>
          </w:tcPr>
          <w:p>
            <w:pPr>
              <w:jc w:val="center"/>
            </w:pPr>
            <w:r>
              <w:t>total_spend</w:t>
            </w:r>
          </w:p>
        </w:tc>
        <w:tc>
          <w:tcPr>
            <w:tcW w:type="dxa" w:w="2160"/>
          </w:tcPr>
          <w:p>
            <w:pPr>
              <w:jc w:val="center"/>
            </w:pPr>
            <w:r>
              <w:t>average_spend_per_transaction</w:t>
            </w:r>
          </w:p>
        </w:tc>
      </w:tr>
      <w:tr>
        <w:tc>
          <w:tcPr>
            <w:tcW w:type="dxa" w:w="2160"/>
          </w:tcPr>
          <w:p>
            <w:pPr>
              <w:jc w:val="center"/>
            </w:pPr>
            <w:r>
              <w:t>Platinum</w:t>
            </w:r>
          </w:p>
        </w:tc>
        <w:tc>
          <w:tcPr>
            <w:tcW w:type="dxa" w:w="2160"/>
          </w:tcPr>
          <w:p>
            <w:pPr>
              <w:jc w:val="center"/>
            </w:pPr>
            <w:r>
              <w:t>6398</w:t>
            </w:r>
          </w:p>
        </w:tc>
        <w:tc>
          <w:tcPr>
            <w:tcW w:type="dxa" w:w="2160"/>
          </w:tcPr>
          <w:p>
            <w:pPr>
              <w:jc w:val="center"/>
            </w:pPr>
            <w:r>
              <w:t>1007639019.0</w:t>
            </w:r>
          </w:p>
        </w:tc>
        <w:tc>
          <w:tcPr>
            <w:tcW w:type="dxa" w:w="2160"/>
          </w:tcPr>
          <w:p>
            <w:pPr>
              <w:jc w:val="center"/>
            </w:pPr>
            <w:r>
              <w:t>157492.813222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