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Top 5 Expense Categories</w:t>
      </w:r>
    </w:p>
    <w:p>
      <w:pPr>
        <w:jc w:val="both"/>
      </w:pPr>
      <w:r>
        <w:rPr>
          <w:rFonts w:ascii="Arial" w:hAnsi="Arial"/>
          <w:sz w:val="24"/>
        </w:rPr>
        <w:br/>
        <w:t xml:space="preserve"> This report highlights the top 5 expense categories based on the total spending from credit card transactions. Understanding these categories can provide insights into consumer behavior and spending patterns.</w:t>
      </w:r>
    </w:p>
    <w:p>
      <w:r>
        <w:br/>
        <w:t>The following trends are observed:</w:t>
        <w:br/>
      </w:r>
    </w:p>
    <w:p>
      <w:pPr>
        <w:jc w:val="both"/>
      </w:pPr>
      <w:r>
        <w:rPr>
          <w:b/>
        </w:rPr>
        <w:t xml:space="preserve">Overview: </w:t>
      </w:r>
      <w:r>
        <w:t>The data offers a glimpse into the spending habits of individuals, with a focus on five key categories: Bills, Food, Fuel, Entertainment, and Grocery. Together, these categories account for a significant proportion of overall expenses, shaping our understanding of essential spending and consumer behavior.</w:t>
      </w:r>
    </w:p>
    <w:p>
      <w:pPr>
        <w:jc w:val="both"/>
      </w:pPr>
      <w:r>
        <w:rPr>
          <w:b/>
        </w:rPr>
        <w:t xml:space="preserve">Category Dominance: </w:t>
      </w:r>
      <w:r>
        <w:t>Bills, Food, and Fuel expenses dominate this dataset, collectively accounting for over 60% of total spending. This trio of categories represents the essential, recurring costs that individuals must manage.The Bills category, including utilities and potentially rent or mortgage payments, stands out as the most significant, suggesting that housing and associated costs are a substantial financial burden for this demographic.Food and Fuel expenses follow closely behind, indicating the importance of daily necessities and transportation in budget allocation.</w:t>
      </w:r>
    </w:p>
    <w:p>
      <w:pPr>
        <w:jc w:val="both"/>
      </w:pPr>
      <w:r>
        <w:rPr>
          <w:b/>
        </w:rPr>
        <w:t xml:space="preserve">Budget Allocation: </w:t>
      </w:r>
      <w:r>
        <w:t>The distribution of spending across these categories suggests a practical approach to budgeting, prioritizing essential costs over discretionary spending.With Bills, Food, and Fuel as the top three expenses, it indicates that individuals are allocating their resources to cover basic needs first, which is a sensible strategy to ensure financial stability.However, the relatively high spending on Entertainment and Grocery suggests that there is room for potential cost savings or budget adjustments in these areas without compromising on essential needs.</w:t>
      </w:r>
    </w:p>
    <w:p>
      <w:pPr>
        <w:jc w:val="both"/>
      </w:pPr>
      <w:r>
        <w:rPr>
          <w:b/>
        </w:rPr>
        <w:t xml:space="preserve">Behavior Insights: </w:t>
      </w:r>
      <w:r>
        <w:t>There is a clear focus on covering the basics, with Bills, Food, and Fuel taking priority. This suggests a pragmatic approach to personal finance, ensuring survival needs are met.The Entertainment category, while not the top expense, still accounts for a notable proportion of spending. This indicates that individuals value leisure activities and are willing to allocate a significant portion of their budget to entertainment, potentially as a stress reliever or means of social engagement.The Grocery category, though essential, may offer opportunities for cost savings through smarter shopping strategies, such as meal planning, budgeting tools, or opting for cheaper alternatives without compromising on nutrition.</w:t>
      </w:r>
    </w:p>
    <w:p>
      <w:pPr>
        <w:jc w:val="both"/>
      </w:pPr>
      <w:r>
        <w:rPr>
          <w:b/>
        </w:rPr>
        <w:t xml:space="preserve">Recommendations: </w:t>
      </w:r>
      <w:r>
        <w:t>Based on the analysis, individuals should continue prioritizing essential categories like Bills, Food, and Fuel to maintain financial stability, especially given the volatile economic climate.To optimize their budget, consumers could consider reviewing their Entertainment spending. While leisure is important, scaling back on this category could free up funds for savings or investments, especially if external factors like a recession impact overall disposable income.For Grocery spending, strategies such as creating shopping lists, utilizing discounts, and reducing food waste can help trim expenses without sacrificing health or nutrition.Additionally, with the rising cost of living, individuals may benefit from seeking alternative income streams or side hustles to bolster their financial resilience.</w:t>
      </w:r>
    </w:p>
    <w:p>
      <w:r>
        <w:br/>
        <w:t>The table below presents the expense categories along with their respective total spends and percentage contributions to the overall spending.</w:t>
        <w:br/>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t>exp_type</w:t>
            </w:r>
          </w:p>
        </w:tc>
        <w:tc>
          <w:tcPr>
            <w:tcW w:type="dxa" w:w="2880"/>
          </w:tcPr>
          <w:p>
            <w:pPr>
              <w:jc w:val="center"/>
            </w:pPr>
            <w:r>
              <w:t>total_spend</w:t>
            </w:r>
          </w:p>
        </w:tc>
        <w:tc>
          <w:tcPr>
            <w:tcW w:type="dxa" w:w="2880"/>
          </w:tcPr>
          <w:p>
            <w:pPr>
              <w:jc w:val="center"/>
            </w:pPr>
            <w:r>
              <w:t>percentage_contribution</w:t>
            </w:r>
          </w:p>
        </w:tc>
      </w:tr>
      <w:tr>
        <w:tc>
          <w:tcPr>
            <w:tcW w:type="dxa" w:w="2880"/>
          </w:tcPr>
          <w:p>
            <w:pPr>
              <w:jc w:val="center"/>
            </w:pPr>
            <w:r>
              <w:t>Bills</w:t>
            </w:r>
          </w:p>
        </w:tc>
        <w:tc>
          <w:tcPr>
            <w:tcW w:type="dxa" w:w="2880"/>
          </w:tcPr>
          <w:p>
            <w:pPr>
              <w:jc w:val="center"/>
            </w:pPr>
            <w:r>
              <w:t>907072473.0</w:t>
            </w:r>
          </w:p>
        </w:tc>
        <w:tc>
          <w:tcPr>
            <w:tcW w:type="dxa" w:w="2880"/>
          </w:tcPr>
          <w:p>
            <w:pPr>
              <w:jc w:val="center"/>
            </w:pPr>
            <w:r>
              <w:t>22.260357</w:t>
            </w:r>
          </w:p>
        </w:tc>
      </w:tr>
      <w:tr>
        <w:tc>
          <w:tcPr>
            <w:tcW w:type="dxa" w:w="2880"/>
          </w:tcPr>
          <w:p>
            <w:pPr>
              <w:jc w:val="center"/>
            </w:pPr>
            <w:r>
              <w:t>Food</w:t>
            </w:r>
          </w:p>
        </w:tc>
        <w:tc>
          <w:tcPr>
            <w:tcW w:type="dxa" w:w="2880"/>
          </w:tcPr>
          <w:p>
            <w:pPr>
              <w:jc w:val="center"/>
            </w:pPr>
            <w:r>
              <w:t>824724009.0</w:t>
            </w:r>
          </w:p>
        </w:tc>
        <w:tc>
          <w:tcPr>
            <w:tcW w:type="dxa" w:w="2880"/>
          </w:tcPr>
          <w:p>
            <w:pPr>
              <w:jc w:val="center"/>
            </w:pPr>
            <w:r>
              <w:t>20.239453</w:t>
            </w:r>
          </w:p>
        </w:tc>
      </w:tr>
      <w:tr>
        <w:tc>
          <w:tcPr>
            <w:tcW w:type="dxa" w:w="2880"/>
          </w:tcPr>
          <w:p>
            <w:pPr>
              <w:jc w:val="center"/>
            </w:pPr>
            <w:r>
              <w:t>Fuel</w:t>
            </w:r>
          </w:p>
        </w:tc>
        <w:tc>
          <w:tcPr>
            <w:tcW w:type="dxa" w:w="2880"/>
          </w:tcPr>
          <w:p>
            <w:pPr>
              <w:jc w:val="center"/>
            </w:pPr>
            <w:r>
              <w:t>789135821.0</w:t>
            </w:r>
          </w:p>
        </w:tc>
        <w:tc>
          <w:tcPr>
            <w:tcW w:type="dxa" w:w="2880"/>
          </w:tcPr>
          <w:p>
            <w:pPr>
              <w:jc w:val="center"/>
            </w:pPr>
            <w:r>
              <w:t>19.366088</w:t>
            </w:r>
          </w:p>
        </w:tc>
      </w:tr>
      <w:tr>
        <w:tc>
          <w:tcPr>
            <w:tcW w:type="dxa" w:w="2880"/>
          </w:tcPr>
          <w:p>
            <w:pPr>
              <w:jc w:val="center"/>
            </w:pPr>
            <w:r>
              <w:t>Entertainment</w:t>
            </w:r>
          </w:p>
        </w:tc>
        <w:tc>
          <w:tcPr>
            <w:tcW w:type="dxa" w:w="2880"/>
          </w:tcPr>
          <w:p>
            <w:pPr>
              <w:jc w:val="center"/>
            </w:pPr>
            <w:r>
              <w:t>726437536.0</w:t>
            </w:r>
          </w:p>
        </w:tc>
        <w:tc>
          <w:tcPr>
            <w:tcW w:type="dxa" w:w="2880"/>
          </w:tcPr>
          <w:p>
            <w:pPr>
              <w:jc w:val="center"/>
            </w:pPr>
            <w:r>
              <w:t>17.827416</w:t>
            </w:r>
          </w:p>
        </w:tc>
      </w:tr>
      <w:tr>
        <w:tc>
          <w:tcPr>
            <w:tcW w:type="dxa" w:w="2880"/>
          </w:tcPr>
          <w:p>
            <w:pPr>
              <w:jc w:val="center"/>
            </w:pPr>
            <w:r>
              <w:t>Grocery</w:t>
            </w:r>
          </w:p>
        </w:tc>
        <w:tc>
          <w:tcPr>
            <w:tcW w:type="dxa" w:w="2880"/>
          </w:tcPr>
          <w:p>
            <w:pPr>
              <w:jc w:val="center"/>
            </w:pPr>
            <w:r>
              <w:t>718207923.0</w:t>
            </w:r>
          </w:p>
        </w:tc>
        <w:tc>
          <w:tcPr>
            <w:tcW w:type="dxa" w:w="2880"/>
          </w:tcPr>
          <w:p>
            <w:pPr>
              <w:jc w:val="center"/>
            </w:pPr>
            <w:r>
              <w:t>17.625455</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