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Fastest Growth in Spending</w:t>
      </w:r>
    </w:p>
    <w:p>
      <w:pPr>
        <w:jc w:val="both"/>
      </w:pPr>
      <w:r>
        <w:rPr>
          <w:rFonts w:ascii="Arial" w:hAnsi="Arial"/>
          <w:sz w:val="24"/>
        </w:rPr>
        <w:br/>
        <w:t xml:space="preserve"> This report identifies the cities or categories showing the fastest growth in spending over a defined period. Such insights can help understand emerging trends and growth areas.</w:t>
      </w:r>
    </w:p>
    <w:p>
      <w:r>
        <w:br/>
        <w:t>The following trends are observed:</w:t>
        <w:br/>
      </w:r>
    </w:p>
    <w:p>
      <w:pPr>
        <w:jc w:val="both"/>
      </w:pPr>
      <w:r>
        <w:rPr>
          <w:b/>
        </w:rPr>
        <w:t xml:space="preserve">Overview: </w:t>
      </w:r>
      <w:r>
        <w:t>The data provided offers a glimpse into the spending habits of a credit card user, holding a Platinum card. The total expenditure on this card stands at ₹1,007,639,019.00 with the average spend being ₹157,492.81.</w:t>
      </w:r>
    </w:p>
    <w:p>
      <w:pPr>
        <w:jc w:val="both"/>
      </w:pPr>
      <w:r>
        <w:rPr>
          <w:b/>
        </w:rPr>
        <w:t xml:space="preserve">Category Dominance: </w:t>
      </w:r>
      <w:r>
        <w:t>The dominant category here is 'Others', accounting for a significant proportion of the total spend. This indicates diverse spending habits or potential uncategorized expenses.</w:t>
      </w:r>
    </w:p>
    <w:p>
      <w:pPr>
        <w:jc w:val="both"/>
      </w:pPr>
      <w:r>
        <w:rPr>
          <w:b/>
        </w:rPr>
        <w:t xml:space="preserve">Budget Allocation: </w:t>
      </w:r>
      <w:r>
        <w:t>Budget allocation appears to be heavily skewed towards the 'Others' category, suggesting that this card may be used primarily for unique or miscellaneous purchases. It is recommended that a detailed analysis of this category be conducted to identify potential sub-categories and optimize spending.</w:t>
      </w:r>
    </w:p>
    <w:p>
      <w:pPr>
        <w:jc w:val="both"/>
      </w:pPr>
      <w:r>
        <w:rPr>
          <w:b/>
        </w:rPr>
        <w:t xml:space="preserve">Behavior Insights: </w:t>
      </w:r>
      <w:r>
        <w:t>The high spending in the 'Others' category could indicate a preference for using the credit card for specific, irregular purchases rather than everyday transactions. This may suggest an opportunity to promote the card for such unique purchases, targeting consumers with similar spending habits.</w:t>
      </w:r>
    </w:p>
    <w:p>
      <w:pPr>
        <w:jc w:val="both"/>
      </w:pPr>
      <w:r>
        <w:rPr>
          <w:b/>
        </w:rPr>
        <w:t xml:space="preserve">Cost Savings: </w:t>
      </w:r>
      <w:r>
        <w:t>To optimize spending and identify potential cost savings, a detailed breakdown of the 'Others' category is essential. Analyzing these expenses further could reveal areas where more competitive pricing or alternative options may be available.</w:t>
      </w:r>
    </w:p>
    <w:p>
      <w:pPr>
        <w:jc w:val="both"/>
      </w:pPr>
      <w:r>
        <w:rPr>
          <w:b/>
        </w:rPr>
        <w:t xml:space="preserve">Budget Adjustments: </w:t>
      </w:r>
      <w:r>
        <w:t>Considering the dominance of the 'Others' category, a reevaluation of budget allocation is suggested. Breaking down this category into more specific sub-categories will provide better control and visibility over spending. External factors such as economic trends, changing consumer behaviors, and market competition could also influence future spending habits.</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card_type</w:t>
            </w:r>
          </w:p>
        </w:tc>
        <w:tc>
          <w:tcPr>
            <w:tcW w:type="dxa" w:w="2160"/>
          </w:tcPr>
          <w:p>
            <w:pPr>
              <w:jc w:val="center"/>
            </w:pPr>
            <w:r>
              <w:t>transaction_count</w:t>
            </w:r>
          </w:p>
        </w:tc>
        <w:tc>
          <w:tcPr>
            <w:tcW w:type="dxa" w:w="2160"/>
          </w:tcPr>
          <w:p>
            <w:pPr>
              <w:jc w:val="center"/>
            </w:pPr>
            <w:r>
              <w:t>total_spend</w:t>
            </w:r>
          </w:p>
        </w:tc>
        <w:tc>
          <w:tcPr>
            <w:tcW w:type="dxa" w:w="2160"/>
          </w:tcPr>
          <w:p>
            <w:pPr>
              <w:jc w:val="center"/>
            </w:pPr>
            <w:r>
              <w:t>average_spend_per_transaction</w:t>
            </w:r>
          </w:p>
        </w:tc>
      </w:tr>
      <w:tr>
        <w:tc>
          <w:tcPr>
            <w:tcW w:type="dxa" w:w="2160"/>
          </w:tcPr>
          <w:p>
            <w:pPr>
              <w:jc w:val="center"/>
            </w:pPr>
            <w:r>
              <w:t>Platinum</w:t>
            </w:r>
          </w:p>
        </w:tc>
        <w:tc>
          <w:tcPr>
            <w:tcW w:type="dxa" w:w="2160"/>
          </w:tcPr>
          <w:p>
            <w:pPr>
              <w:jc w:val="center"/>
            </w:pPr>
            <w:r>
              <w:t>6398</w:t>
            </w:r>
          </w:p>
        </w:tc>
        <w:tc>
          <w:tcPr>
            <w:tcW w:type="dxa" w:w="2160"/>
          </w:tcPr>
          <w:p>
            <w:pPr>
              <w:jc w:val="center"/>
            </w:pPr>
            <w:r>
              <w:t>1007639019.0</w:t>
            </w:r>
          </w:p>
        </w:tc>
        <w:tc>
          <w:tcPr>
            <w:tcW w:type="dxa" w:w="2160"/>
          </w:tcPr>
          <w:p>
            <w:pPr>
              <w:jc w:val="center"/>
            </w:pPr>
            <w:r>
              <w:t>157492.813222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