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Top 5 Expense Categories</w:t>
      </w:r>
    </w:p>
    <w:p>
      <w:pPr>
        <w:jc w:val="both"/>
      </w:pPr>
      <w:r>
        <w:rPr>
          <w:rFonts w:ascii="Arial" w:hAnsi="Arial"/>
          <w:sz w:val="24"/>
        </w:rPr>
        <w:br/>
        <w:t xml:space="preserve"> This report highlights the top 5 expense categories based on the total spending from credit card transactions. Understanding these categories can provide insights into consumer behavior and spending patterns.</w:t>
      </w:r>
    </w:p>
    <w:p>
      <w:r>
        <w:br/>
        <w:t>The following trends are observed:</w:t>
        <w:br/>
      </w:r>
    </w:p>
    <w:p>
      <w:pPr>
        <w:jc w:val="both"/>
      </w:pPr>
      <w:r>
        <w:rPr>
          <w:b/>
        </w:rPr>
        <w:t xml:space="preserve">Overview: </w:t>
      </w:r>
      <w:r>
        <w:t>The data offers a glimpse into the spending habits of individuals, with a focus on five key categories: Bills, Food, Fuel, Entertainment, and Grocery. Together, these categories account for a significant proportion of overall expenses, shaping our understanding of essential spending and consumer behavior.</w:t>
      </w:r>
    </w:p>
    <w:p>
      <w:pPr>
        <w:jc w:val="both"/>
      </w:pPr>
      <w:r>
        <w:rPr>
          <w:b/>
        </w:rPr>
        <w:t xml:space="preserve">Category Dominance: </w:t>
      </w:r>
      <w:r>
        <w:t>Bills, Food, and Fuel expenses dominate this dataset, collectively accounting for over 60% of total spending. This trio of necessities underscores the practical considerations in budget allocation.Notably, the Entertainment category also stands out, suggesting that discretionary spending holds a substantial share of the budget, potentially influencing savings strategies and budget adjustments.</w:t>
      </w:r>
    </w:p>
    <w:p>
      <w:pPr>
        <w:jc w:val="both"/>
      </w:pPr>
      <w:r>
        <w:rPr>
          <w:b/>
        </w:rPr>
        <w:t xml:space="preserve">Budget Allocation: </w:t>
      </w:r>
      <w:r>
        <w:t>The allocation of funds appears to be heavily influenced by the necessity of certain expenses, with Bills, Food, and Fuel taking precedence. This practical approach ensures the coverage of basic needs and essential services.However, the significant spending on Entertainment and Grocery highlights the importance of lifestyle choices and personal preferences in budget planning. Striking a balance between essential and discretionary spending is key to effective budget management.</w:t>
      </w:r>
    </w:p>
    <w:p>
      <w:pPr>
        <w:jc w:val="both"/>
      </w:pPr>
      <w:r>
        <w:rPr>
          <w:b/>
        </w:rPr>
        <w:t xml:space="preserve">Behavior Insights: </w:t>
      </w:r>
      <w:r>
        <w:t>The prominence of Bills and Fuel expenses suggests that cardholders are relying on credit to manage essential, recurring payments, indicating a potential need for better cash flow management or fixed expense optimization.The Food and Entertainment categories showcase the social and cultural aspects of spending. Dining out and entertainment are integral parts of the cardholders' lifestyles, potentially influencing their budget strategies and savings goals.</w:t>
      </w:r>
    </w:p>
    <w:p>
      <w:pPr>
        <w:jc w:val="both"/>
      </w:pPr>
      <w:r>
        <w:rPr>
          <w:b/>
        </w:rPr>
        <w:t xml:space="preserve">Suggestions: </w:t>
      </w:r>
      <w:r>
        <w:t>To optimize spending, cardholders could consider reviewing subscription services and negotiating better rates for bills. Bundling services or switching providers may result in cost savings without compromising on necessities.For fuel expenses, strategies such as carpooling or utilizing fuel rewards programs could be suggested to reduce overall fuel costs without impacting mobility.In the Food category, promoting meal planning, home cooking, and grocery shopping with a list can help reduce dining out expenses. Additionally, leveraging discounts and loyalty programs can result in significant savings without compromising on social experiences.For entertainment spending, cardholders could be encouraged to explore cost-effective alternatives, such as free community events or discounted movie nights, to maintain their current level of entertainment while reducing expenses.</w:t>
      </w:r>
    </w:p>
    <w:p>
      <w:pPr>
        <w:jc w:val="both"/>
      </w:pPr>
      <w:r>
        <w:rPr>
          <w:b/>
        </w:rPr>
        <w:t xml:space="preserve">External Factors: </w:t>
      </w:r>
      <w:r>
        <w:t>Consider the impact of inflation on essential spending categories like Bills, Food, and Fuel. Rising prices can quickly erode savings and disrupt budget plans, necessitating proactive adjustments.Technological advancements and the rise of digital platforms can influence spending habits, especially in entertainment. Streaming services, for example, may offer cost-effective alternatives to traditional entertainment options, helping to curb expenses.</w:t>
      </w:r>
    </w:p>
    <w:p>
      <w:pPr>
        <w:jc w:val="both"/>
      </w:pPr>
      <w:r>
        <w:rPr>
          <w:b/>
        </w:rPr>
        <w:t xml:space="preserve">Recommendations: </w:t>
      </w:r>
      <w:r>
        <w:t>Based on the analysis, a multi-pronged approach is suggested: Negotiate bills, optimize fuel and food spending, and embrace cost-effective entertainment alternatives. Additionally, remain cognizant of inflation's impact and leverage digital alternatives for budget-friendly choices. Regular review and adjustment of budgets are key to maintaining financial wellness.</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exp_type</w:t>
            </w:r>
          </w:p>
        </w:tc>
        <w:tc>
          <w:tcPr>
            <w:tcW w:type="dxa" w:w="2880"/>
          </w:tcPr>
          <w:p>
            <w:pPr>
              <w:jc w:val="center"/>
            </w:pPr>
            <w:r>
              <w:t>total_spend</w:t>
            </w:r>
          </w:p>
        </w:tc>
        <w:tc>
          <w:tcPr>
            <w:tcW w:type="dxa" w:w="2880"/>
          </w:tcPr>
          <w:p>
            <w:pPr>
              <w:jc w:val="center"/>
            </w:pPr>
            <w:r>
              <w:t>percentage_contribution</w:t>
            </w:r>
          </w:p>
        </w:tc>
      </w:tr>
      <w:tr>
        <w:tc>
          <w:tcPr>
            <w:tcW w:type="dxa" w:w="2880"/>
          </w:tcPr>
          <w:p>
            <w:pPr>
              <w:jc w:val="center"/>
            </w:pPr>
            <w:r>
              <w:t>Bills</w:t>
            </w:r>
          </w:p>
        </w:tc>
        <w:tc>
          <w:tcPr>
            <w:tcW w:type="dxa" w:w="2880"/>
          </w:tcPr>
          <w:p>
            <w:pPr>
              <w:jc w:val="center"/>
            </w:pPr>
            <w:r>
              <w:t>907072473.0</w:t>
            </w:r>
          </w:p>
        </w:tc>
        <w:tc>
          <w:tcPr>
            <w:tcW w:type="dxa" w:w="2880"/>
          </w:tcPr>
          <w:p>
            <w:pPr>
              <w:jc w:val="center"/>
            </w:pPr>
            <w:r>
              <w:t>22.260357</w:t>
            </w:r>
          </w:p>
        </w:tc>
      </w:tr>
      <w:tr>
        <w:tc>
          <w:tcPr>
            <w:tcW w:type="dxa" w:w="2880"/>
          </w:tcPr>
          <w:p>
            <w:pPr>
              <w:jc w:val="center"/>
            </w:pPr>
            <w:r>
              <w:t>Food</w:t>
            </w:r>
          </w:p>
        </w:tc>
        <w:tc>
          <w:tcPr>
            <w:tcW w:type="dxa" w:w="2880"/>
          </w:tcPr>
          <w:p>
            <w:pPr>
              <w:jc w:val="center"/>
            </w:pPr>
            <w:r>
              <w:t>824724009.0</w:t>
            </w:r>
          </w:p>
        </w:tc>
        <w:tc>
          <w:tcPr>
            <w:tcW w:type="dxa" w:w="2880"/>
          </w:tcPr>
          <w:p>
            <w:pPr>
              <w:jc w:val="center"/>
            </w:pPr>
            <w:r>
              <w:t>20.239453</w:t>
            </w:r>
          </w:p>
        </w:tc>
      </w:tr>
      <w:tr>
        <w:tc>
          <w:tcPr>
            <w:tcW w:type="dxa" w:w="2880"/>
          </w:tcPr>
          <w:p>
            <w:pPr>
              <w:jc w:val="center"/>
            </w:pPr>
            <w:r>
              <w:t>Fuel</w:t>
            </w:r>
          </w:p>
        </w:tc>
        <w:tc>
          <w:tcPr>
            <w:tcW w:type="dxa" w:w="2880"/>
          </w:tcPr>
          <w:p>
            <w:pPr>
              <w:jc w:val="center"/>
            </w:pPr>
            <w:r>
              <w:t>789135821.0</w:t>
            </w:r>
          </w:p>
        </w:tc>
        <w:tc>
          <w:tcPr>
            <w:tcW w:type="dxa" w:w="2880"/>
          </w:tcPr>
          <w:p>
            <w:pPr>
              <w:jc w:val="center"/>
            </w:pPr>
            <w:r>
              <w:t>19.366088</w:t>
            </w:r>
          </w:p>
        </w:tc>
      </w:tr>
      <w:tr>
        <w:tc>
          <w:tcPr>
            <w:tcW w:type="dxa" w:w="2880"/>
          </w:tcPr>
          <w:p>
            <w:pPr>
              <w:jc w:val="center"/>
            </w:pPr>
            <w:r>
              <w:t>Entertainment</w:t>
            </w:r>
          </w:p>
        </w:tc>
        <w:tc>
          <w:tcPr>
            <w:tcW w:type="dxa" w:w="2880"/>
          </w:tcPr>
          <w:p>
            <w:pPr>
              <w:jc w:val="center"/>
            </w:pPr>
            <w:r>
              <w:t>726437536.0</w:t>
            </w:r>
          </w:p>
        </w:tc>
        <w:tc>
          <w:tcPr>
            <w:tcW w:type="dxa" w:w="2880"/>
          </w:tcPr>
          <w:p>
            <w:pPr>
              <w:jc w:val="center"/>
            </w:pPr>
            <w:r>
              <w:t>17.827416</w:t>
            </w:r>
          </w:p>
        </w:tc>
      </w:tr>
      <w:tr>
        <w:tc>
          <w:tcPr>
            <w:tcW w:type="dxa" w:w="2880"/>
          </w:tcPr>
          <w:p>
            <w:pPr>
              <w:jc w:val="center"/>
            </w:pPr>
            <w:r>
              <w:t>Grocery</w:t>
            </w:r>
          </w:p>
        </w:tc>
        <w:tc>
          <w:tcPr>
            <w:tcW w:type="dxa" w:w="2880"/>
          </w:tcPr>
          <w:p>
            <w:pPr>
              <w:jc w:val="center"/>
            </w:pPr>
            <w:r>
              <w:t>718207923.0</w:t>
            </w:r>
          </w:p>
        </w:tc>
        <w:tc>
          <w:tcPr>
            <w:tcW w:type="dxa" w:w="2880"/>
          </w:tcPr>
          <w:p>
            <w:pPr>
              <w:jc w:val="center"/>
            </w:pPr>
            <w:r>
              <w:t>17.625455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