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Top 5 Expense Categories</w:t>
      </w:r>
    </w:p>
    <w:p>
      <w:pPr>
        <w:jc w:val="both"/>
      </w:pPr>
      <w:r>
        <w:rPr>
          <w:rFonts w:ascii="Arial" w:hAnsi="Arial"/>
          <w:sz w:val="24"/>
        </w:rPr>
        <w:br/>
        <w:t xml:space="preserve"> This report highlights the top 5 expense categories based on the total spending from credit card transactions. Understanding these categories can provide insights into consumer behavior and spending patterns.</w:t>
      </w:r>
    </w:p>
    <w:p>
      <w:r>
        <w:br/>
        <w:t>The following trends are observed:</w:t>
        <w:br/>
      </w:r>
    </w:p>
    <w:p>
      <w:pPr>
        <w:jc w:val="both"/>
      </w:pPr>
      <w:r>
        <w:rPr>
          <w:b/>
        </w:rPr>
        <w:t xml:space="preserve">Overview: </w:t>
      </w:r>
      <w:r>
        <w:t>The data offers a glimpse into the spending habits of individuals, with a focus on five primary categories: Bills, Food, Fuel, Entertainment, and Grocery. Together, these categories account for a significant proportion of overall expenses, shaping the budget allocation strategies and spending behaviors of individuals.</w:t>
      </w:r>
    </w:p>
    <w:p>
      <w:pPr>
        <w:jc w:val="both"/>
      </w:pPr>
      <w:r>
        <w:rPr>
          <w:b/>
        </w:rPr>
        <w:t xml:space="preserve">Category Dominance: </w:t>
      </w:r>
      <w:r>
        <w:t>Bills stand out as the most significant expense, totaling over 907 crore rupees and making up 22.26% of the total spend. This suggests that essential services and recurring payments are a dominant factor in budget planning.Food and Fuel expenses are also substantial, with Food amounting to nearly 825 crore rupees (20.24%) and Fuel costing around 789 crore rupees (19.37%). These three categories alone comprise almost 62% of the total spending, indicating their essential nature in daily life.Entertainment and Grocery expenses are relatively closer, with Entertainment spending reaching 726 crore rupees (17.83%) and Grocery shopping totaling 718 crore rupees (17.63%). These categories represent discretionary and essential spending, respectively.</w:t>
      </w:r>
    </w:p>
    <w:p>
      <w:pPr>
        <w:jc w:val="both"/>
      </w:pPr>
      <w:r>
        <w:rPr>
          <w:b/>
        </w:rPr>
        <w:t xml:space="preserve">Budget Allocation: </w:t>
      </w:r>
      <w:r>
        <w:t>The distribution of expenses highlights the necessity of these five categories in the lives of individuals, with a combined spend of over 4085 crore rupees.It appears that a significant portion of one’s budget is dedicated to covering essential costs, such as Bills, Food, and Fuel. These are non-negotiable expenses that form the foundation of financial planning.The allocation towards Entertainment and Grocery, while slightly lower in percentage terms, still represents a considerable amount. These categories offer a degree of flexibility in terms of potential cost savings, which could be explored further.</w:t>
      </w:r>
    </w:p>
    <w:p>
      <w:pPr>
        <w:jc w:val="both"/>
      </w:pPr>
      <w:r>
        <w:rPr>
          <w:b/>
        </w:rPr>
        <w:t xml:space="preserve">Behavior Insights: </w:t>
      </w:r>
      <w:r>
        <w:t>The prominence of Bills as a category suggests that individuals prioritize staying on top of recurring payments and maintaining essential services, such as utilities and subscriptions.Food and Fuel expenses are intrinsic to daily life, indicating that consumers are spending a substantial amount on sustenance and transportation. This could be influenced by factors such as family size, commuting distances, and dietary preferences.Entertainment spending is notable, reflecting a desire for leisure and recreational activities despite their non-essential nature. This could be indicative of consumers seeking respite from the pressures of daily life or prioritizing experiences over material possessions.The Grocery category, while essential, makes up a slightly smaller proportion of spending. This could suggest a preference for convenience or indicate that individuals are opting for alternative food sources, such as dining out or ordering in.</w:t>
      </w:r>
    </w:p>
    <w:p>
      <w:pPr>
        <w:jc w:val="both"/>
      </w:pPr>
      <w:r>
        <w:rPr>
          <w:b/>
        </w:rPr>
        <w:t xml:space="preserve">Recommendations: </w:t>
      </w:r>
      <w:r>
        <w:t>To optimize budget allocation, individuals could review their Bills regularly to identify opportunities for cost reduction, such as negotiating better rates or switching to more efficient service providers.Given the substantial Food and Fuel expenses, exploring cost-effective alternatives without compromising quality could be beneficial. This may include comparing prices across stores, utilizing discounts, or adopting more fuel-efficient transportation options.For Entertainment spending, individuals could consider setting discretionary budgets to ensure that leisure activities do not overextend their finances. Prioritizing free or low-cost recreational options can also help strike a balance between enjoyment and financial prudence.In the case of Grocery shopping, planning meals in advance, creating shopping lists, and taking advantage of bulk purchasing or loyalty programs can help optimize spending. Additionally, individuals may benefit from evaluating the convenience versus cost trade-off when choosing between grocery shopping and dining out.</w:t>
      </w:r>
    </w:p>
    <w:p>
      <w:r>
        <w:br/>
        <w:t>The table below presents the expense categories along with their respective total spends and percentage contributions to the overall spending.</w:t>
        <w:br/>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t>exp_type</w:t>
            </w:r>
          </w:p>
        </w:tc>
        <w:tc>
          <w:tcPr>
            <w:tcW w:type="dxa" w:w="2880"/>
          </w:tcPr>
          <w:p>
            <w:pPr>
              <w:jc w:val="center"/>
            </w:pPr>
            <w:r>
              <w:t>total_spend</w:t>
            </w:r>
          </w:p>
        </w:tc>
        <w:tc>
          <w:tcPr>
            <w:tcW w:type="dxa" w:w="2880"/>
          </w:tcPr>
          <w:p>
            <w:pPr>
              <w:jc w:val="center"/>
            </w:pPr>
            <w:r>
              <w:t>percentage_contribution</w:t>
            </w:r>
          </w:p>
        </w:tc>
      </w:tr>
      <w:tr>
        <w:tc>
          <w:tcPr>
            <w:tcW w:type="dxa" w:w="2880"/>
          </w:tcPr>
          <w:p>
            <w:pPr>
              <w:jc w:val="center"/>
            </w:pPr>
            <w:r>
              <w:t>Bills</w:t>
            </w:r>
          </w:p>
        </w:tc>
        <w:tc>
          <w:tcPr>
            <w:tcW w:type="dxa" w:w="2880"/>
          </w:tcPr>
          <w:p>
            <w:pPr>
              <w:jc w:val="center"/>
            </w:pPr>
            <w:r>
              <w:t>907072473.0</w:t>
            </w:r>
          </w:p>
        </w:tc>
        <w:tc>
          <w:tcPr>
            <w:tcW w:type="dxa" w:w="2880"/>
          </w:tcPr>
          <w:p>
            <w:pPr>
              <w:jc w:val="center"/>
            </w:pPr>
            <w:r>
              <w:t>22.260357</w:t>
            </w:r>
          </w:p>
        </w:tc>
      </w:tr>
      <w:tr>
        <w:tc>
          <w:tcPr>
            <w:tcW w:type="dxa" w:w="2880"/>
          </w:tcPr>
          <w:p>
            <w:pPr>
              <w:jc w:val="center"/>
            </w:pPr>
            <w:r>
              <w:t>Food</w:t>
            </w:r>
          </w:p>
        </w:tc>
        <w:tc>
          <w:tcPr>
            <w:tcW w:type="dxa" w:w="2880"/>
          </w:tcPr>
          <w:p>
            <w:pPr>
              <w:jc w:val="center"/>
            </w:pPr>
            <w:r>
              <w:t>824724009.0</w:t>
            </w:r>
          </w:p>
        </w:tc>
        <w:tc>
          <w:tcPr>
            <w:tcW w:type="dxa" w:w="2880"/>
          </w:tcPr>
          <w:p>
            <w:pPr>
              <w:jc w:val="center"/>
            </w:pPr>
            <w:r>
              <w:t>20.239453</w:t>
            </w:r>
          </w:p>
        </w:tc>
      </w:tr>
      <w:tr>
        <w:tc>
          <w:tcPr>
            <w:tcW w:type="dxa" w:w="2880"/>
          </w:tcPr>
          <w:p>
            <w:pPr>
              <w:jc w:val="center"/>
            </w:pPr>
            <w:r>
              <w:t>Fuel</w:t>
            </w:r>
          </w:p>
        </w:tc>
        <w:tc>
          <w:tcPr>
            <w:tcW w:type="dxa" w:w="2880"/>
          </w:tcPr>
          <w:p>
            <w:pPr>
              <w:jc w:val="center"/>
            </w:pPr>
            <w:r>
              <w:t>789135821.0</w:t>
            </w:r>
          </w:p>
        </w:tc>
        <w:tc>
          <w:tcPr>
            <w:tcW w:type="dxa" w:w="2880"/>
          </w:tcPr>
          <w:p>
            <w:pPr>
              <w:jc w:val="center"/>
            </w:pPr>
            <w:r>
              <w:t>19.366088</w:t>
            </w:r>
          </w:p>
        </w:tc>
      </w:tr>
      <w:tr>
        <w:tc>
          <w:tcPr>
            <w:tcW w:type="dxa" w:w="2880"/>
          </w:tcPr>
          <w:p>
            <w:pPr>
              <w:jc w:val="center"/>
            </w:pPr>
            <w:r>
              <w:t>Entertainment</w:t>
            </w:r>
          </w:p>
        </w:tc>
        <w:tc>
          <w:tcPr>
            <w:tcW w:type="dxa" w:w="2880"/>
          </w:tcPr>
          <w:p>
            <w:pPr>
              <w:jc w:val="center"/>
            </w:pPr>
            <w:r>
              <w:t>726437536.0</w:t>
            </w:r>
          </w:p>
        </w:tc>
        <w:tc>
          <w:tcPr>
            <w:tcW w:type="dxa" w:w="2880"/>
          </w:tcPr>
          <w:p>
            <w:pPr>
              <w:jc w:val="center"/>
            </w:pPr>
            <w:r>
              <w:t>17.827416</w:t>
            </w:r>
          </w:p>
        </w:tc>
      </w:tr>
      <w:tr>
        <w:tc>
          <w:tcPr>
            <w:tcW w:type="dxa" w:w="2880"/>
          </w:tcPr>
          <w:p>
            <w:pPr>
              <w:jc w:val="center"/>
            </w:pPr>
            <w:r>
              <w:t>Grocery</w:t>
            </w:r>
          </w:p>
        </w:tc>
        <w:tc>
          <w:tcPr>
            <w:tcW w:type="dxa" w:w="2880"/>
          </w:tcPr>
          <w:p>
            <w:pPr>
              <w:jc w:val="center"/>
            </w:pPr>
            <w:r>
              <w:t>718207923.0</w:t>
            </w:r>
          </w:p>
        </w:tc>
        <w:tc>
          <w:tcPr>
            <w:tcW w:type="dxa" w:w="2880"/>
          </w:tcPr>
          <w:p>
            <w:pPr>
              <w:jc w:val="center"/>
            </w:pPr>
            <w:r>
              <w:t>17.625455</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