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Year over Year Spend Growth</w:t>
      </w:r>
    </w:p>
    <w:p>
      <w:pPr>
        <w:jc w:val="both"/>
      </w:pPr>
      <w:r>
        <w:rPr>
          <w:rFonts w:ascii="Arial" w:hAnsi="Arial"/>
          <w:sz w:val="24"/>
        </w:rPr>
        <w:br/>
        <w:t xml:space="preserve"> This report presents the year-over-year growth in spending, showcasing trends over time. Identifying these trends is crucial for understanding changes in consumer behavior and market dynamics.</w:t>
      </w:r>
    </w:p>
    <w:p>
      <w:r>
        <w:br/>
        <w:t>The following trends are observed:</w:t>
        <w:br/>
      </w:r>
    </w:p>
    <w:p>
      <w:pPr>
        <w:jc w:val="both"/>
      </w:pPr>
      <w:r>
        <w:rPr>
          <w:b/>
        </w:rPr>
        <w:t xml:space="preserve">Overview: </w:t>
      </w:r>
      <w:r>
        <w:t>The data provided offers a glimpse into the spending habits of an individual or a household based in Ahmedabad, India. With a total expenditure of ₹8,35,06,240 (approximately $1,043,828), the expenses are dominated by a single category – an apparent investment in a 'Silver' category, which could refer to a significant purchase of silver bullion, collectibles, or perhaps a high-end membership tier. This unique category comprises 100% of the total spending. Such a dominant single category indicates a potential one-time investment or an unusual spending pattern for this particular time period.</w:t>
      </w:r>
    </w:p>
    <w:p>
      <w:pPr>
        <w:jc w:val="both"/>
      </w:pPr>
      <w:r>
        <w:rPr>
          <w:b/>
        </w:rPr>
        <w:t xml:space="preserve">Category Dominance: </w:t>
      </w:r>
      <w:r>
        <w:t>The 'Silver' category is an outlier, and it skews the analysis of dominant spending areas. Typically, a more diverse range of categories would be expected, with potential areas such as housing, transportation, dining out, and entertainment featuring more prominently in Indian household budgets. This unusual distribution warrants further investigation or additional data to understand the context better.</w:t>
      </w:r>
    </w:p>
    <w:p>
      <w:pPr>
        <w:jc w:val="both"/>
      </w:pPr>
      <w:r>
        <w:rPr>
          <w:b/>
        </w:rPr>
        <w:t xml:space="preserve">Budget Allocation: </w:t>
      </w:r>
      <w:r>
        <w:t>Given the dominance of the 'Silver' category, it appears that this budget is focused on a specific investment or one-time purchase rather than regular monthly expenses. It is challenging to draw conclusions about typical budget allocations without more varied data. However, it can be suggested that such a significant allocation to a single category could indicate opportunities for cost savings or diversification of investments to balance risk.</w:t>
      </w:r>
    </w:p>
    <w:p>
      <w:pPr>
        <w:jc w:val="both"/>
      </w:pPr>
      <w:r>
        <w:rPr>
          <w:b/>
        </w:rPr>
        <w:t xml:space="preserve">Behavior Insights: </w:t>
      </w:r>
      <w:r>
        <w:t>The behavior reflected in this data is atypical for standard consumer spending patterns. It suggests a strategic, potentially one-time financial decision rather than routine transactions. This could indicate an interest in precious metals as an investment vehicle, a preference for alternative assets, or a unique spending behavior. Further analysis of transaction trends over time would help identify any patterns or correlations with other categories.</w:t>
      </w:r>
    </w:p>
    <w:p>
      <w:pPr>
        <w:jc w:val="both"/>
      </w:pPr>
      <w:r>
        <w:rPr>
          <w:b/>
        </w:rPr>
        <w:t xml:space="preserve">Recommendations: </w:t>
      </w:r>
      <w:r>
        <w:t>Based on the analysis, it is recommended that additional data be sourced to understand spending habits better. This could include a larger dataset, transaction dates, and more diverse expense categories to identify typical budget allocations. For this particular dataset, a review of the 'Silver' category is warranted to assess if the spending aligns with the individual's/household's financial goals and risk tolerance. Diversification of investments and a review of asset allocation may be beneficial.</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city</w:t>
            </w:r>
          </w:p>
        </w:tc>
        <w:tc>
          <w:tcPr>
            <w:tcW w:type="dxa" w:w="2880"/>
          </w:tcPr>
          <w:p>
            <w:pPr>
              <w:jc w:val="center"/>
            </w:pPr>
            <w:r>
              <w:t>card_type</w:t>
            </w:r>
          </w:p>
        </w:tc>
        <w:tc>
          <w:tcPr>
            <w:tcW w:type="dxa" w:w="2880"/>
          </w:tcPr>
          <w:p>
            <w:pPr>
              <w:jc w:val="center"/>
            </w:pPr>
            <w:r>
              <w:t>growth</w:t>
            </w:r>
          </w:p>
        </w:tc>
      </w:tr>
      <w:tr>
        <w:tc>
          <w:tcPr>
            <w:tcW w:type="dxa" w:w="2880"/>
          </w:tcPr>
          <w:p>
            <w:pPr>
              <w:jc w:val="center"/>
            </w:pPr>
            <w:r>
              <w:t>Ahmedabad, India</w:t>
            </w:r>
          </w:p>
        </w:tc>
        <w:tc>
          <w:tcPr>
            <w:tcW w:type="dxa" w:w="2880"/>
          </w:tcPr>
          <w:p>
            <w:pPr>
              <w:jc w:val="center"/>
            </w:pPr>
            <w:r>
              <w:t>Silver</w:t>
            </w:r>
          </w:p>
        </w:tc>
        <w:tc>
          <w:tcPr>
            <w:tcW w:type="dxa" w:w="2880"/>
          </w:tcPr>
          <w:p>
            <w:pPr>
              <w:jc w:val="center"/>
            </w:pPr>
            <w:r>
              <w:t>83506240.0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