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Top 5 Expense Categories</w:t>
      </w:r>
    </w:p>
    <w:p>
      <w:pPr>
        <w:jc w:val="both"/>
      </w:pPr>
      <w:r>
        <w:rPr>
          <w:rFonts w:ascii="Arial" w:hAnsi="Arial"/>
          <w:sz w:val="24"/>
        </w:rPr>
        <w:br/>
        <w:t xml:space="preserve"> This report highlights the top 5 expense categories based on the total spending from credit card transactions. Understanding these categories can provide insights into consumer behavior and spending patterns.</w:t>
      </w:r>
    </w:p>
    <w:p>
      <w:r>
        <w:br/>
        <w:t>The following trends are observed:</w:t>
        <w:br/>
      </w:r>
    </w:p>
    <w:p>
      <w:pPr>
        <w:jc w:val="both"/>
      </w:pPr>
      <w:r>
        <w:rPr>
          <w:b/>
        </w:rPr>
        <w:t xml:space="preserve">Overview: </w:t>
      </w:r>
      <w:r>
        <w:t>The data offers a glimpse into the spending habits of individuals, with a focus on five primary expense categories: Bills, Food, Fuel, Entertainment, and Grocery. Together, these categories account for a significant proportion of overall spending, shaping the budget allocation strategies and financial habits of consumers.</w:t>
      </w:r>
    </w:p>
    <w:p>
      <w:pPr>
        <w:jc w:val="both"/>
      </w:pPr>
      <w:r>
        <w:rPr>
          <w:b/>
        </w:rPr>
        <w:t xml:space="preserve">Category Dominance: </w:t>
      </w:r>
      <w:r>
        <w:t>Bills and essential services take the lead, accounting for 22.26% of total spending. This is closely followed by Food at 20.24%, indicating that a large portion of expenses are directed towards sustenance and daily needs. Fuel, Entertainment, and Grocery also contribute substantially, though with slightly smaller percentages, totaling 19.37%, 17.83%, and 17.63%, respectively.</w:t>
      </w:r>
    </w:p>
    <w:p>
      <w:pPr>
        <w:jc w:val="both"/>
      </w:pPr>
      <w:r>
        <w:rPr>
          <w:b/>
        </w:rPr>
        <w:t xml:space="preserve">Budget Allocation: </w:t>
      </w:r>
      <w:r>
        <w:t>The distribution of spending across these categories suggests a practical approach to budgeting, with a focus on covering necessary expenses first. The dominance of Bills and Food expenses indicates that consumers prioritize keeping the lights on and putting food on the table before anything else. This strategy ensures that basic needs are met, but it may leave less room for discretionary spending.</w:t>
      </w:r>
    </w:p>
    <w:p>
      <w:pPr>
        <w:jc w:val="both"/>
      </w:pPr>
      <w:r>
        <w:rPr>
          <w:b/>
        </w:rPr>
        <w:t xml:space="preserve">Behavior Insights: </w:t>
      </w:r>
      <w:r>
        <w:t>The spending behavior reflected in the data showcases a responsible approach to finances. With Bills and Food taking center stage, it appears that consumers are mindful of their essential commitments. However, the significant allocation towards Entertainment suggests that individuals also recognize the importance of leisure and recreational activities, potentially indicating a work-life balance or a desire for experiential spending.</w:t>
      </w:r>
    </w:p>
    <w:p>
      <w:pPr>
        <w:jc w:val="both"/>
      </w:pPr>
      <w:r>
        <w:rPr>
          <w:b/>
        </w:rPr>
        <w:t xml:space="preserve">Potential Cost Savings: </w:t>
      </w:r>
      <w:r>
        <w:t>To optimize budget allocation and identify potential cost savings, consumers could consider the following strategies: Negotiating better rates for essential services like internet, cable, or insurance could reduce Bill expenses. Adopting cost-conscious grocery shopping habits, such as creating meal plans or utilizing discounts, can help stretch the Food budget further. Entertainment spending could be optimized by taking advantage of promotions or opting for cost-effective leisure activities, especially those that encourage healthier lifestyles, like outdoor pursuits.</w:t>
      </w:r>
    </w:p>
    <w:p>
      <w:pPr>
        <w:jc w:val="both"/>
      </w:pPr>
      <w:r>
        <w:rPr>
          <w:b/>
        </w:rPr>
        <w:t xml:space="preserve">External Factors: </w:t>
      </w:r>
      <w:r>
        <w:t>It's worth noting that external factors, such as inflation or changing market conditions, can influence spending habits. For instance, rising fuel prices could impact not only transportation costs but also the prices of goods and services across the board. Keeping abreast of economic trends and adjusting budgets accordingly can help consumers maintain financial resilience in the face of such fluctuations.</w:t>
      </w:r>
    </w:p>
    <w:p>
      <w:pPr>
        <w:jc w:val="both"/>
      </w:pPr>
      <w:r>
        <w:rPr>
          <w:b/>
        </w:rPr>
        <w:t xml:space="preserve">Recommendations: </w:t>
      </w:r>
      <w:r>
        <w:t>Based on the analysis, consumers should continue prioritizing essential expenses but also explore opportunities for cost optimization within these categories. Additionally, creating a balanced approach to discretionary spending, such as Entertainment, can ensure that individuals enjoy their leisure pursuits without compromising their financial stability.</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exp_type</w:t>
            </w:r>
          </w:p>
        </w:tc>
        <w:tc>
          <w:tcPr>
            <w:tcW w:type="dxa" w:w="2880"/>
          </w:tcPr>
          <w:p>
            <w:pPr>
              <w:jc w:val="center"/>
            </w:pPr>
            <w:r>
              <w:t>total_spend</w:t>
            </w:r>
          </w:p>
        </w:tc>
        <w:tc>
          <w:tcPr>
            <w:tcW w:type="dxa" w:w="2880"/>
          </w:tcPr>
          <w:p>
            <w:pPr>
              <w:jc w:val="center"/>
            </w:pPr>
            <w:r>
              <w:t>percentage_contribution</w:t>
            </w:r>
          </w:p>
        </w:tc>
      </w:tr>
      <w:tr>
        <w:tc>
          <w:tcPr>
            <w:tcW w:type="dxa" w:w="2880"/>
          </w:tcPr>
          <w:p>
            <w:pPr>
              <w:jc w:val="center"/>
            </w:pPr>
            <w:r>
              <w:t>Bills</w:t>
            </w:r>
          </w:p>
        </w:tc>
        <w:tc>
          <w:tcPr>
            <w:tcW w:type="dxa" w:w="2880"/>
          </w:tcPr>
          <w:p>
            <w:pPr>
              <w:jc w:val="center"/>
            </w:pPr>
            <w:r>
              <w:t>907072473.0</w:t>
            </w:r>
          </w:p>
        </w:tc>
        <w:tc>
          <w:tcPr>
            <w:tcW w:type="dxa" w:w="2880"/>
          </w:tcPr>
          <w:p>
            <w:pPr>
              <w:jc w:val="center"/>
            </w:pPr>
            <w:r>
              <w:t>22.26</w:t>
            </w:r>
          </w:p>
        </w:tc>
      </w:tr>
      <w:tr>
        <w:tc>
          <w:tcPr>
            <w:tcW w:type="dxa" w:w="2880"/>
          </w:tcPr>
          <w:p>
            <w:pPr>
              <w:jc w:val="center"/>
            </w:pPr>
            <w:r>
              <w:t>Food</w:t>
            </w:r>
          </w:p>
        </w:tc>
        <w:tc>
          <w:tcPr>
            <w:tcW w:type="dxa" w:w="2880"/>
          </w:tcPr>
          <w:p>
            <w:pPr>
              <w:jc w:val="center"/>
            </w:pPr>
            <w:r>
              <w:t>824724009.0</w:t>
            </w:r>
          </w:p>
        </w:tc>
        <w:tc>
          <w:tcPr>
            <w:tcW w:type="dxa" w:w="2880"/>
          </w:tcPr>
          <w:p>
            <w:pPr>
              <w:jc w:val="center"/>
            </w:pPr>
            <w:r>
              <w:t>20.24</w:t>
            </w:r>
          </w:p>
        </w:tc>
      </w:tr>
      <w:tr>
        <w:tc>
          <w:tcPr>
            <w:tcW w:type="dxa" w:w="2880"/>
          </w:tcPr>
          <w:p>
            <w:pPr>
              <w:jc w:val="center"/>
            </w:pPr>
            <w:r>
              <w:t>Fuel</w:t>
            </w:r>
          </w:p>
        </w:tc>
        <w:tc>
          <w:tcPr>
            <w:tcW w:type="dxa" w:w="2880"/>
          </w:tcPr>
          <w:p>
            <w:pPr>
              <w:jc w:val="center"/>
            </w:pPr>
            <w:r>
              <w:t>789135821.0</w:t>
            </w:r>
          </w:p>
        </w:tc>
        <w:tc>
          <w:tcPr>
            <w:tcW w:type="dxa" w:w="2880"/>
          </w:tcPr>
          <w:p>
            <w:pPr>
              <w:jc w:val="center"/>
            </w:pPr>
            <w:r>
              <w:t>19.37</w:t>
            </w:r>
          </w:p>
        </w:tc>
      </w:tr>
      <w:tr>
        <w:tc>
          <w:tcPr>
            <w:tcW w:type="dxa" w:w="2880"/>
          </w:tcPr>
          <w:p>
            <w:pPr>
              <w:jc w:val="center"/>
            </w:pPr>
            <w:r>
              <w:t>Entertainment</w:t>
            </w:r>
          </w:p>
        </w:tc>
        <w:tc>
          <w:tcPr>
            <w:tcW w:type="dxa" w:w="2880"/>
          </w:tcPr>
          <w:p>
            <w:pPr>
              <w:jc w:val="center"/>
            </w:pPr>
            <w:r>
              <w:t>726437536.0</w:t>
            </w:r>
          </w:p>
        </w:tc>
        <w:tc>
          <w:tcPr>
            <w:tcW w:type="dxa" w:w="2880"/>
          </w:tcPr>
          <w:p>
            <w:pPr>
              <w:jc w:val="center"/>
            </w:pPr>
            <w:r>
              <w:t>17.83</w:t>
            </w:r>
          </w:p>
        </w:tc>
      </w:tr>
      <w:tr>
        <w:tc>
          <w:tcPr>
            <w:tcW w:type="dxa" w:w="2880"/>
          </w:tcPr>
          <w:p>
            <w:pPr>
              <w:jc w:val="center"/>
            </w:pPr>
            <w:r>
              <w:t>Grocery</w:t>
            </w:r>
          </w:p>
        </w:tc>
        <w:tc>
          <w:tcPr>
            <w:tcW w:type="dxa" w:w="2880"/>
          </w:tcPr>
          <w:p>
            <w:pPr>
              <w:jc w:val="center"/>
            </w:pPr>
            <w:r>
              <w:t>718207923.0</w:t>
            </w:r>
          </w:p>
        </w:tc>
        <w:tc>
          <w:tcPr>
            <w:tcW w:type="dxa" w:w="2880"/>
          </w:tcPr>
          <w:p>
            <w:pPr>
              <w:jc w:val="center"/>
            </w:pPr>
            <w:r>
              <w:t>17.63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