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84F95"/>
        </w:rPr>
        <w:t>DRISHTI</w:t>
      </w:r>
    </w:p>
    <w:p>
      <w:pPr>
        <w:spacing w:after="40"/>
      </w:pPr>
      <w:r>
        <w:rPr>
          <w:b/>
          <w:i w:val="0"/>
          <w:sz w:val="30"/>
        </w:rPr>
        <w:t>The Differentiators</w:t>
      </w:r>
    </w:p>
    <w:p>
      <w:pPr>
        <w:spacing w:after="240"/>
      </w:pPr>
      <w:r>
        <w:rPr>
          <w:b w:val="0"/>
          <w:i/>
          <w:color w:val="52514E"/>
          <w:sz w:val="21"/>
        </w:rPr>
        <w:t>what makes this different — and how to say it</w:t>
      </w:r>
    </w:p>
    <w:p>
      <w:pPr>
        <w:spacing w:after="40"/>
      </w:pPr>
      <w:r>
        <w:rPr>
          <w:b/>
          <w:i w:val="0"/>
          <w:sz w:val="21"/>
        </w:rPr>
        <w:t>The one-line positioning:</w:t>
      </w:r>
    </w:p>
    <w:p>
      <w:pPr>
        <w:spacing w:after="200"/>
        <w:ind w:left="317"/>
      </w:pPr>
      <w:r>
        <w:rPr>
          <w:i/>
          <w:color w:val="184F95"/>
          <w:sz w:val="21"/>
        </w:rPr>
        <w:t>“Every other system in this space answers “what happened?” Drishti answers “who is fixing it, and is it fixed yet?” — Day 1 evening instead of Day 4. ~35 cases instead of ~600.”</w:t>
      </w:r>
    </w:p>
    <w:p>
      <w:pPr>
        <w:pStyle w:val="Heading1"/>
      </w:pPr>
      <w:r>
        <w:rPr>
          <w:rFonts w:ascii="Calibri" w:hAnsi="Calibri"/>
          <w:color w:val="184F95"/>
        </w:rPr>
        <w:t>1 · vs. Jana Swasthya (Harvard, Nashik Kumbh 2015)</w:t>
      </w:r>
    </w:p>
    <w:p>
      <w:pPr>
        <w:spacing w:after="160"/>
      </w:pPr>
      <w:r>
        <w:rPr>
          <w:b w:val="0"/>
          <w:i/>
          <w:color w:val="52514E"/>
          <w:sz w:val="21"/>
        </w:rPr>
        <w:t>Use the citation as armor, not origin. Lead with your story; drop Harvard in as proof the data-entry works — then show the gap you filled.</w:t>
      </w:r>
    </w:p>
    <w:tbl>
      <w:tblPr>
        <w:tblStyle w:val="LightGrid-Accent1"/>
        <w:tblW w:type="auto" w:w="0"/>
        <w:jc w:val="left"/>
        <w:tblLook w:firstColumn="1" w:firstRow="1" w:lastColumn="0" w:lastRow="0" w:noHBand="0" w:noVBand="1" w:val="04A0"/>
      </w:tblPr>
      <w:tblGrid>
        <w:gridCol w:w="2880"/>
        <w:gridCol w:w="2880"/>
        <w:gridCol w:w="2880"/>
      </w:tblGrid>
      <w:tr>
        <w:tc>
          <w:tcPr>
            <w:tcW w:type="dxa" w:w="461"/>
          </w:tcPr>
          <w:p>
            <w:r>
              <w:rPr>
                <w:b/>
                <w:sz w:val="19"/>
              </w:rPr>
              <w:t>#</w:t>
            </w:r>
          </w:p>
        </w:tc>
        <w:tc>
          <w:tcPr>
            <w:tcW w:type="dxa" w:w="3960"/>
          </w:tcPr>
          <w:p>
            <w:r>
              <w:rPr>
                <w:b/>
                <w:sz w:val="19"/>
              </w:rPr>
              <w:t>What we built</w:t>
            </w:r>
          </w:p>
        </w:tc>
        <w:tc>
          <w:tcPr>
            <w:tcW w:type="dxa" w:w="4392"/>
          </w:tcPr>
          <w:p>
            <w:r>
              <w:rPr>
                <w:b/>
                <w:sz w:val="19"/>
              </w:rPr>
              <w:t>Say it like this</w:t>
            </w:r>
          </w:p>
        </w:tc>
      </w:tr>
      <w:tr>
        <w:tc>
          <w:tcPr>
            <w:tcW w:type="dxa" w:w="461"/>
          </w:tcPr>
          <w:p>
            <w:r>
              <w:rPr>
                <w:sz w:val="19"/>
              </w:rPr>
              <w:t>1</w:t>
            </w:r>
          </w:p>
        </w:tc>
        <w:tc>
          <w:tcPr>
            <w:tcW w:type="dxa" w:w="3960"/>
          </w:tcPr>
          <w:p>
            <w:r>
              <w:rPr>
                <w:sz w:val="19"/>
              </w:rPr>
              <w:t>Detection, not just charts. Rolling baseline + z-score per sector per syndrome, every 5 minutes</w:t>
            </w:r>
          </w:p>
        </w:tc>
        <w:tc>
          <w:tcPr>
            <w:tcW w:type="dxa" w:w="4392"/>
          </w:tcPr>
          <w:p>
            <w:r>
              <w:rPr>
                <w:i/>
                <w:sz w:val="19"/>
              </w:rPr>
              <w:t>“They visualised data. We interrogate it — every 5 minutes.”</w:t>
            </w:r>
          </w:p>
        </w:tc>
      </w:tr>
      <w:tr>
        <w:tc>
          <w:tcPr>
            <w:tcW w:type="dxa" w:w="461"/>
          </w:tcPr>
          <w:p>
            <w:r>
              <w:rPr>
                <w:sz w:val="19"/>
              </w:rPr>
              <w:t>2</w:t>
            </w:r>
          </w:p>
        </w:tc>
        <w:tc>
          <w:tcPr>
            <w:tcW w:type="dxa" w:w="3960"/>
          </w:tcPr>
          <w:p>
            <w:r>
              <w:rPr>
                <w:sz w:val="19"/>
              </w:rPr>
              <w:t>Dispatch — the closed loop. Alert → assign → acknowledge → resolve, with note and timestamps</w:t>
            </w:r>
          </w:p>
        </w:tc>
        <w:tc>
          <w:tcPr>
            <w:tcW w:type="dxa" w:w="4392"/>
          </w:tcPr>
          <w:p>
            <w:r>
              <w:rPr>
                <w:i/>
                <w:sz w:val="19"/>
              </w:rPr>
              <w:t>“Their pipeline ended at a graph. Ours ends when a human closes the tap and the curve flattens.”</w:t>
            </w:r>
          </w:p>
        </w:tc>
      </w:tr>
      <w:tr>
        <w:tc>
          <w:tcPr>
            <w:tcW w:type="dxa" w:w="461"/>
          </w:tcPr>
          <w:p>
            <w:r>
              <w:rPr>
                <w:sz w:val="19"/>
              </w:rPr>
              <w:t>3</w:t>
            </w:r>
          </w:p>
        </w:tc>
        <w:tc>
          <w:tcPr>
            <w:tcW w:type="dxa" w:w="3960"/>
          </w:tcPr>
          <w:p>
            <w:r>
              <w:rPr>
                <w:sz w:val="19"/>
              </w:rPr>
              <w:t>Acted-on antibiotic signal. Published analyses of Kumbh syndromic surveillance reported prescribing around 31%; nothing was done with it</w:t>
            </w:r>
          </w:p>
        </w:tc>
        <w:tc>
          <w:tcPr>
            <w:tcW w:type="dxa" w:w="4392"/>
          </w:tcPr>
          <w:p>
            <w:r>
              <w:rPr>
                <w:i/>
                <w:sz w:val="19"/>
              </w:rPr>
              <w:t>“They recorded the problem. We built the nudge — non-blocking, one tap to dismiss.”</w:t>
            </w:r>
          </w:p>
        </w:tc>
      </w:tr>
      <w:tr>
        <w:tc>
          <w:tcPr>
            <w:tcW w:type="dxa" w:w="461"/>
          </w:tcPr>
          <w:p>
            <w:r>
              <w:rPr>
                <w:sz w:val="19"/>
              </w:rPr>
              <w:t>4</w:t>
            </w:r>
          </w:p>
        </w:tc>
        <w:tc>
          <w:tcPr>
            <w:tcW w:type="dxa" w:w="3960"/>
          </w:tcPr>
          <w:p>
            <w:r>
              <w:rPr>
                <w:sz w:val="19"/>
              </w:rPr>
              <w:t>Referral continuity. QR card that follows the pilgrim home</w:t>
            </w:r>
          </w:p>
        </w:tc>
        <w:tc>
          <w:tcPr>
            <w:tcW w:type="dxa" w:w="4392"/>
          </w:tcPr>
          <w:p>
            <w:r>
              <w:rPr>
                <w:i/>
                <w:sz w:val="19"/>
              </w:rPr>
              <w:t>“The festival ends. The record does not.”</w:t>
            </w:r>
          </w:p>
        </w:tc>
      </w:tr>
    </w:tbl>
    <w:p/>
    <w:p>
      <w:pPr>
        <w:pStyle w:val="Heading1"/>
      </w:pPr>
      <w:r>
        <w:rPr>
          <w:rFonts w:ascii="Calibri" w:hAnsi="Calibri"/>
          <w:color w:val="184F95"/>
        </w:rPr>
        <w:t>2 · vs. Any Surveillance Dashboard</w:t>
      </w:r>
    </w:p>
    <w:tbl>
      <w:tblPr>
        <w:tblStyle w:val="LightGrid-Accent1"/>
        <w:tblW w:type="auto" w:w="0"/>
        <w:jc w:val="left"/>
        <w:tblLook w:firstColumn="1" w:firstRow="1" w:lastColumn="0" w:lastRow="0" w:noHBand="0" w:noVBand="1" w:val="04A0"/>
      </w:tblPr>
      <w:tblGrid>
        <w:gridCol w:w="2880"/>
        <w:gridCol w:w="2880"/>
        <w:gridCol w:w="2880"/>
      </w:tblGrid>
      <w:tr>
        <w:tc>
          <w:tcPr>
            <w:tcW w:type="dxa" w:w="461"/>
          </w:tcPr>
          <w:p>
            <w:r>
              <w:rPr>
                <w:b/>
                <w:sz w:val="19"/>
              </w:rPr>
              <w:t>#</w:t>
            </w:r>
          </w:p>
        </w:tc>
        <w:tc>
          <w:tcPr>
            <w:tcW w:type="dxa" w:w="3960"/>
          </w:tcPr>
          <w:p>
            <w:r>
              <w:rPr>
                <w:b/>
                <w:sz w:val="19"/>
              </w:rPr>
              <w:t>What we built</w:t>
            </w:r>
          </w:p>
        </w:tc>
        <w:tc>
          <w:tcPr>
            <w:tcW w:type="dxa" w:w="4392"/>
          </w:tcPr>
          <w:p>
            <w:r>
              <w:rPr>
                <w:b/>
                <w:sz w:val="19"/>
              </w:rPr>
              <w:t>Say it like this</w:t>
            </w:r>
          </w:p>
        </w:tc>
      </w:tr>
      <w:tr>
        <w:tc>
          <w:tcPr>
            <w:tcW w:type="dxa" w:w="461"/>
          </w:tcPr>
          <w:p>
            <w:r>
              <w:rPr>
                <w:sz w:val="19"/>
              </w:rPr>
              <w:t>5</w:t>
            </w:r>
          </w:p>
        </w:tc>
        <w:tc>
          <w:tcPr>
            <w:tcW w:type="dxa" w:w="3960"/>
          </w:tcPr>
          <w:p>
            <w:r>
              <w:rPr>
                <w:sz w:val="19"/>
              </w:rPr>
              <w:t>Explainable maths, no ML. Every alert shows observed vs expected vs threshold</w:t>
            </w:r>
          </w:p>
        </w:tc>
        <w:tc>
          <w:tcPr>
            <w:tcW w:type="dxa" w:w="4392"/>
          </w:tcPr>
          <w:p>
            <w:r>
              <w:rPr>
                <w:i/>
                <w:sz w:val="19"/>
              </w:rPr>
              <w:t>“Officials must be able to argue with an alert. You cannot argue with a neural net.”</w:t>
            </w:r>
          </w:p>
        </w:tc>
      </w:tr>
      <w:tr>
        <w:tc>
          <w:tcPr>
            <w:tcW w:type="dxa" w:w="461"/>
          </w:tcPr>
          <w:p>
            <w:r>
              <w:rPr>
                <w:sz w:val="19"/>
              </w:rPr>
              <w:t>6</w:t>
            </w:r>
          </w:p>
        </w:tc>
        <w:tc>
          <w:tcPr>
            <w:tcW w:type="dxa" w:w="3960"/>
          </w:tcPr>
          <w:p>
            <w:r>
              <w:rPr>
                <w:sz w:val="19"/>
              </w:rPr>
              <w:t>Silence is not calm. A clinic quiet for 3h+ loses its count entirely — the tile shows a dash and "no reports 3h+", never healthy pale</w:t>
            </w:r>
          </w:p>
        </w:tc>
        <w:tc>
          <w:tcPr>
            <w:tcW w:type="dxa" w:w="4392"/>
          </w:tcPr>
          <w:p>
            <w:r>
              <w:rPr>
                <w:i/>
                <w:sz w:val="19"/>
              </w:rPr>
              <w:t>“Most dashboards cannot tell "no cases" from "no data." Ours shows a dash instead of a number — and that difference is where outbreaks hide.”</w:t>
            </w:r>
          </w:p>
        </w:tc>
      </w:tr>
      <w:tr>
        <w:tc>
          <w:tcPr>
            <w:tcW w:type="dxa" w:w="461"/>
          </w:tcPr>
          <w:p>
            <w:r>
              <w:rPr>
                <w:sz w:val="19"/>
              </w:rPr>
              <w:t>7</w:t>
            </w:r>
          </w:p>
        </w:tc>
        <w:tc>
          <w:tcPr>
            <w:tcW w:type="dxa" w:w="3960"/>
          </w:tcPr>
          <w:p>
            <w:r>
              <w:rPr>
                <w:sz w:val="19"/>
              </w:rPr>
              <w:t>False-alarm floor. z ≥ 3 AND count ≥ 8, plus a Poisson floor on thin baselines; watch/act tiers</w:t>
            </w:r>
          </w:p>
        </w:tc>
        <w:tc>
          <w:tcPr>
            <w:tcW w:type="dxa" w:w="4392"/>
          </w:tcPr>
          <w:p>
            <w:r>
              <w:rPr>
                <w:i/>
                <w:sz w:val="19"/>
              </w:rPr>
              <w:t>“A system that cries wolf is dead in a week. We engineered the boredom in.”</w:t>
            </w:r>
          </w:p>
        </w:tc>
      </w:tr>
      <w:tr>
        <w:tc>
          <w:tcPr>
            <w:tcW w:type="dxa" w:w="461"/>
          </w:tcPr>
          <w:p>
            <w:r>
              <w:rPr>
                <w:sz w:val="19"/>
              </w:rPr>
              <w:t>8</w:t>
            </w:r>
          </w:p>
        </w:tc>
        <w:tc>
          <w:tcPr>
            <w:tcW w:type="dxa" w:w="3960"/>
          </w:tcPr>
          <w:p>
            <w:r>
              <w:rPr>
                <w:sz w:val="19"/>
              </w:rPr>
              <w:t>Simulator writes through the real API. Detection cannot tell demo data from real</w:t>
            </w:r>
          </w:p>
        </w:tc>
        <w:tc>
          <w:tcPr>
            <w:tcW w:type="dxa" w:w="4392"/>
          </w:tcPr>
          <w:p>
            <w:r>
              <w:rPr>
                <w:i/>
                <w:sz w:val="19"/>
              </w:rPr>
              <w:t>“What you are watching is the real pipeline, not a movie.”</w:t>
            </w:r>
          </w:p>
        </w:tc>
      </w:tr>
      <w:tr>
        <w:tc>
          <w:tcPr>
            <w:tcW w:type="dxa" w:w="461"/>
          </w:tcPr>
          <w:p>
            <w:r>
              <w:rPr>
                <w:sz w:val="19"/>
              </w:rPr>
              <w:t>9</w:t>
            </w:r>
          </w:p>
        </w:tc>
        <w:tc>
          <w:tcPr>
            <w:tcW w:type="dxa" w:w="3960"/>
          </w:tcPr>
          <w:p>
            <w:r>
              <w:rPr>
                <w:sz w:val="19"/>
              </w:rPr>
              <w:t>The replay. One button reconstructs a full outbreak — detection, dispatch, resolution — time-compressed, on the same detection rule the live system runs</w:t>
            </w:r>
          </w:p>
        </w:tc>
        <w:tc>
          <w:tcPr>
            <w:tcW w:type="dxa" w:w="4392"/>
          </w:tcPr>
          <w:p>
            <w:r>
              <w:rPr>
                <w:i/>
                <w:sz w:val="19"/>
              </w:rPr>
              <w:t>“Sixty seconds, and you watch an outbreak get caught and closed. Same maths, replayed.”</w:t>
            </w:r>
          </w:p>
        </w:tc>
      </w:tr>
    </w:tbl>
    <w:p/>
    <w:p>
      <w:pPr>
        <w:pStyle w:val="Heading1"/>
      </w:pPr>
      <w:r>
        <w:rPr>
          <w:rFonts w:ascii="Calibri" w:hAnsi="Calibri"/>
          <w:color w:val="184F95"/>
        </w:rPr>
        <w:t>3 · vs. Typical Hackathon Builds</w:t>
      </w:r>
    </w:p>
    <w:tbl>
      <w:tblPr>
        <w:tblStyle w:val="LightGrid-Accent1"/>
        <w:tblW w:type="auto" w:w="0"/>
        <w:jc w:val="left"/>
        <w:tblLook w:firstColumn="1" w:firstRow="1" w:lastColumn="0" w:lastRow="0" w:noHBand="0" w:noVBand="1" w:val="04A0"/>
      </w:tblPr>
      <w:tblGrid>
        <w:gridCol w:w="2880"/>
        <w:gridCol w:w="2880"/>
        <w:gridCol w:w="2880"/>
      </w:tblGrid>
      <w:tr>
        <w:tc>
          <w:tcPr>
            <w:tcW w:type="dxa" w:w="461"/>
          </w:tcPr>
          <w:p>
            <w:r>
              <w:rPr>
                <w:b/>
                <w:sz w:val="19"/>
              </w:rPr>
              <w:t>#</w:t>
            </w:r>
          </w:p>
        </w:tc>
        <w:tc>
          <w:tcPr>
            <w:tcW w:type="dxa" w:w="3960"/>
          </w:tcPr>
          <w:p>
            <w:r>
              <w:rPr>
                <w:b/>
                <w:sz w:val="19"/>
              </w:rPr>
              <w:t>What we built</w:t>
            </w:r>
          </w:p>
        </w:tc>
        <w:tc>
          <w:tcPr>
            <w:tcW w:type="dxa" w:w="4392"/>
          </w:tcPr>
          <w:p>
            <w:r>
              <w:rPr>
                <w:b/>
                <w:sz w:val="19"/>
              </w:rPr>
              <w:t>Say it like this</w:t>
            </w:r>
          </w:p>
        </w:tc>
      </w:tr>
      <w:tr>
        <w:tc>
          <w:tcPr>
            <w:tcW w:type="dxa" w:w="461"/>
          </w:tcPr>
          <w:p>
            <w:r>
              <w:rPr>
                <w:sz w:val="19"/>
              </w:rPr>
              <w:t>10</w:t>
            </w:r>
          </w:p>
        </w:tc>
        <w:tc>
          <w:tcPr>
            <w:tcW w:type="dxa" w:w="3960"/>
          </w:tcPr>
          <w:p>
            <w:r>
              <w:rPr>
                <w:sz w:val="19"/>
              </w:rPr>
              <w:t>Ten-second entry, offline-first. localStorage queue, client-generated UUIDs, no duplicates on retry</w:t>
            </w:r>
          </w:p>
        </w:tc>
        <w:tc>
          <w:tcPr>
            <w:tcW w:type="dxa" w:w="4392"/>
          </w:tcPr>
          <w:p>
            <w:r>
              <w:rPr>
                <w:i/>
                <w:sz w:val="19"/>
              </w:rPr>
              <w:t>“Built for a doctor with a 200-person queue and no signal — not for a demo booth.”</w:t>
            </w:r>
          </w:p>
        </w:tc>
      </w:tr>
      <w:tr>
        <w:tc>
          <w:tcPr>
            <w:tcW w:type="dxa" w:w="461"/>
          </w:tcPr>
          <w:p>
            <w:r>
              <w:rPr>
                <w:sz w:val="19"/>
              </w:rPr>
              <w:t>11</w:t>
            </w:r>
          </w:p>
        </w:tc>
        <w:tc>
          <w:tcPr>
            <w:tcW w:type="dxa" w:w="3960"/>
          </w:tcPr>
          <w:p>
            <w:r>
              <w:rPr>
                <w:sz w:val="19"/>
              </w:rPr>
              <w:t>Never block a doctor. Every prompt dismissible in one tap</w:t>
            </w:r>
          </w:p>
        </w:tc>
        <w:tc>
          <w:tcPr>
            <w:tcW w:type="dxa" w:w="4392"/>
          </w:tcPr>
          <w:p>
            <w:r>
              <w:rPr>
                <w:i/>
                <w:sz w:val="19"/>
              </w:rPr>
              <w:t>“Clinical software fails when it gets in the way. Nothing in Drishti gates care.”</w:t>
            </w:r>
          </w:p>
        </w:tc>
      </w:tr>
      <w:tr>
        <w:tc>
          <w:tcPr>
            <w:tcW w:type="dxa" w:w="461"/>
          </w:tcPr>
          <w:p>
            <w:r>
              <w:rPr>
                <w:sz w:val="19"/>
              </w:rPr>
              <w:t>12</w:t>
            </w:r>
          </w:p>
        </w:tc>
        <w:tc>
          <w:tcPr>
            <w:tcW w:type="dxa" w:w="3960"/>
          </w:tcPr>
          <w:p>
            <w:r>
              <w:rPr>
                <w:sz w:val="19"/>
              </w:rPr>
              <w:t>No pilgrim app — by design</w:t>
            </w:r>
          </w:p>
        </w:tc>
        <w:tc>
          <w:tcPr>
            <w:tcW w:type="dxa" w:w="4392"/>
          </w:tcPr>
          <w:p>
            <w:r>
              <w:rPr>
                <w:i/>
                <w:sz w:val="19"/>
              </w:rPr>
              <w:t>“Our users are 70-year-old pilgrims mid-pilgrimage. They get a printed QR card, and that is a feature.”</w:t>
            </w:r>
          </w:p>
        </w:tc>
      </w:tr>
      <w:tr>
        <w:tc>
          <w:tcPr>
            <w:tcW w:type="dxa" w:w="461"/>
          </w:tcPr>
          <w:p>
            <w:r>
              <w:rPr>
                <w:sz w:val="19"/>
              </w:rPr>
              <w:t>13</w:t>
            </w:r>
          </w:p>
        </w:tc>
        <w:tc>
          <w:tcPr>
            <w:tcW w:type="dxa" w:w="3960"/>
          </w:tcPr>
          <w:p>
            <w:r>
              <w:rPr>
                <w:sz w:val="19"/>
              </w:rPr>
              <w:t>Actually deployed. Live domain, Cloudflare Worker crons, detection every 5 minutes</w:t>
            </w:r>
          </w:p>
        </w:tc>
        <w:tc>
          <w:tcPr>
            <w:tcW w:type="dxa" w:w="4392"/>
          </w:tcPr>
          <w:p>
            <w:r>
              <w:rPr>
                <w:i/>
                <w:sz w:val="19"/>
              </w:rPr>
              <w:t>“This is not localhost. It has been running at drishti.akhileshnagargoje.in since before the event.”</w:t>
            </w:r>
          </w:p>
        </w:tc>
      </w:tr>
      <w:tr>
        <w:tc>
          <w:tcPr>
            <w:tcW w:type="dxa" w:w="461"/>
          </w:tcPr>
          <w:p>
            <w:r>
              <w:rPr>
                <w:sz w:val="19"/>
              </w:rPr>
              <w:t>14</w:t>
            </w:r>
          </w:p>
        </w:tc>
        <w:tc>
          <w:tcPr>
            <w:tcW w:type="dxa" w:w="3960"/>
          </w:tcPr>
          <w:p>
            <w:r>
              <w:rPr>
                <w:sz w:val="19"/>
              </w:rPr>
              <w:t>Config-driven festival. Sectors, clinics, thresholds in seed files</w:t>
            </w:r>
          </w:p>
        </w:tc>
        <w:tc>
          <w:tcPr>
            <w:tcW w:type="dxa" w:w="4392"/>
          </w:tcPr>
          <w:p>
            <w:r>
              <w:rPr>
                <w:i/>
                <w:sz w:val="19"/>
              </w:rPr>
              <w:t>“Kumbh today. Pandharpur next month. Change one config file.”</w:t>
            </w:r>
          </w:p>
        </w:tc>
      </w:tr>
      <w:tr>
        <w:tc>
          <w:tcPr>
            <w:tcW w:type="dxa" w:w="461"/>
          </w:tcPr>
          <w:p>
            <w:r>
              <w:rPr>
                <w:sz w:val="19"/>
              </w:rPr>
              <w:t>15</w:t>
            </w:r>
          </w:p>
        </w:tc>
        <w:tc>
          <w:tcPr>
            <w:tcW w:type="dxa" w:w="3960"/>
          </w:tcPr>
          <w:p>
            <w:r>
              <w:rPr>
                <w:sz w:val="19"/>
              </w:rPr>
              <w:t>Three roles, one app. Worker / official / crew, each seeing only their job</w:t>
            </w:r>
          </w:p>
        </w:tc>
        <w:tc>
          <w:tcPr>
            <w:tcW w:type="dxa" w:w="4392"/>
          </w:tcPr>
          <w:p>
            <w:r>
              <w:rPr>
                <w:i/>
                <w:sz w:val="19"/>
              </w:rPr>
              <w:t>“Not a dashboard with logins — three different jobs, each with a screen built for it.”</w:t>
            </w:r>
          </w:p>
        </w:tc>
      </w:tr>
    </w:tbl>
    <w:p/>
    <w:p>
      <w:pPr>
        <w:pStyle w:val="Heading1"/>
      </w:pPr>
      <w:r>
        <w:rPr>
          <w:rFonts w:ascii="Calibri" w:hAnsi="Calibri"/>
          <w:color w:val="184F95"/>
        </w:rPr>
        <w:t>4 · How to Use This</w:t>
      </w:r>
    </w:p>
    <w:p>
      <w:pPr>
        <w:spacing w:after="40"/>
      </w:pPr>
      <w:r>
        <w:rPr>
          <w:b/>
          <w:i w:val="0"/>
          <w:sz w:val="21"/>
        </w:rPr>
        <w:t>Speak only four:</w:t>
      </w:r>
    </w:p>
    <w:p>
      <w:pPr>
        <w:spacing w:after="160"/>
      </w:pPr>
      <w:r>
        <w:rPr>
          <w:b w:val="0"/>
          <w:i w:val="0"/>
          <w:sz w:val="21"/>
        </w:rPr>
        <w:t>the closed loop (#2), silence is not calm (#6), explainability (#5), and no pilgrim app (#12). These are the ones no other team will have thought of.</w:t>
      </w:r>
    </w:p>
    <w:p>
      <w:pPr>
        <w:pStyle w:val="ListBullet"/>
        <w:spacing w:after="80"/>
      </w:pPr>
      <w:r>
        <w:t>Keep the rest in your pocket for Q&amp;A — each row is a pre-loaded answer to a judge question.</w:t>
      </w:r>
    </w:p>
    <w:p>
      <w:pPr>
        <w:pStyle w:val="ListBullet"/>
        <w:spacing w:after="80"/>
      </w:pPr>
      <w:r>
        <w:t>Pitch order: the fourteen-people story → "the number fourteen did not exist anywhere" → one Harvard line as proof → demo → close with the one-line positioning above.</w:t>
      </w:r>
    </w:p>
    <w:p/>
    <w:p>
      <w:pPr>
        <w:pStyle w:val="Heading1"/>
      </w:pPr>
      <w:r>
        <w:rPr>
          <w:rFonts w:ascii="Calibri" w:hAnsi="Calibri"/>
          <w:color w:val="184F95"/>
        </w:rPr>
        <w:t>5 · Own the Limitations Before They Are Asked</w:t>
      </w:r>
    </w:p>
    <w:p>
      <w:pPr>
        <w:spacing w:after="160"/>
      </w:pPr>
      <w:r>
        <w:rPr>
          <w:b w:val="0"/>
          <w:i/>
          <w:color w:val="52514E"/>
          <w:sz w:val="21"/>
        </w:rPr>
        <w:t>Volunteering weaknesses is the strongest move in a Q&amp;A — but only if every one of them is true. Say these as written; do not improvise numbers.</w:t>
      </w:r>
    </w:p>
    <w:p>
      <w:pPr>
        <w:spacing w:after="40"/>
      </w:pPr>
      <w:r>
        <w:rPr>
          <w:b/>
          <w:i w:val="0"/>
          <w:sz w:val="21"/>
        </w:rPr>
        <w:t>Testing — what we can honestly claim</w:t>
      </w:r>
    </w:p>
    <w:p>
      <w:pPr>
        <w:spacing w:after="200"/>
        <w:ind w:left="317"/>
      </w:pPr>
      <w:r>
        <w:rPr>
          <w:i/>
          <w:color w:val="184F95"/>
          <w:sz w:val="21"/>
        </w:rPr>
        <w:t>“We have nine unit tests on the detection decision itself — including the cases where a naive z-score would cry wolf: a thin baseline, three identical quiet days, and counts below the floor. What we have not done is measure a false-positive rate across a long simulated run. That is the next thing we would build.”</w:t>
      </w:r>
    </w:p>
    <w:p>
      <w:pPr>
        <w:spacing w:after="200"/>
      </w:pPr>
      <w:r>
        <w:rPr>
          <w:b w:val="0"/>
          <w:i w:val="0"/>
          <w:color w:val="A32020"/>
          <w:sz w:val="19"/>
        </w:rPr>
        <w:t>Why this wording: it is verifiable. Run "cd worker &amp;&amp; node --test" and all nine pass. Never claim a measured false-positive rate or a number of trials — we do not have one, and a judge who asks for the figure would expose it.</w:t>
      </w:r>
    </w:p>
    <w:p>
      <w:pPr>
        <w:spacing w:after="40"/>
      </w:pPr>
      <w:r>
        <w:rPr>
          <w:b/>
          <w:i w:val="0"/>
          <w:sz w:val="21"/>
        </w:rPr>
        <w:t>Field validation</w:t>
      </w:r>
    </w:p>
    <w:p>
      <w:pPr>
        <w:spacing w:after="200"/>
        <w:ind w:left="317"/>
      </w:pPr>
      <w:r>
        <w:rPr>
          <w:i/>
          <w:color w:val="184F95"/>
          <w:sz w:val="21"/>
        </w:rPr>
        <w:t>“Every pilgrim in the system is simulated. The pipeline is real and the detection rule is real — the simulator writes through the same API a tablet does — but field validation with a real health department is roadmap, not results.”</w:t>
      </w:r>
    </w:p>
    <w:p>
      <w:pPr>
        <w:spacing w:after="40"/>
      </w:pPr>
      <w:r>
        <w:rPr>
          <w:b/>
          <w:i w:val="0"/>
          <w:sz w:val="21"/>
        </w:rPr>
        <w:t>Known gaps we would fix next</w:t>
      </w:r>
    </w:p>
    <w:p>
      <w:pPr>
        <w:pStyle w:val="ListBullet"/>
        <w:spacing w:after="80"/>
      </w:pPr>
      <w:r>
        <w:t>No spatial correlation between adjacent sectors yet — an outbreak straddling a boundary is seen as two smaller ones.</w:t>
      </w:r>
    </w:p>
    <w:p>
      <w:pPr>
        <w:pStyle w:val="ListBullet"/>
        <w:spacing w:after="80"/>
      </w:pPr>
      <w:r>
        <w:t>Crowd-size normalisation is designed but not switched on; on a bathing day, raw counts rise simply because more people are present.</w:t>
      </w:r>
    </w:p>
    <w:p>
      <w:pPr>
        <w:pStyle w:val="ListBullet"/>
        <w:spacing w:after="80"/>
      </w:pPr>
      <w:r>
        <w:t>One noisy historical day desensitises a cell for three days — a known, accepted trade, documented in the tests.</w:t>
      </w:r>
    </w:p>
    <w:p/>
    <w:p>
      <w:pPr>
        <w:pStyle w:val="Heading2"/>
      </w:pPr>
      <w:r>
        <w:rPr>
          <w:rFonts w:ascii="Calibri" w:hAnsi="Calibri"/>
          <w:color w:val="52514E"/>
        </w:rPr>
        <w:t>Sources to have ready</w:t>
      </w:r>
    </w:p>
    <w:p>
      <w:pPr>
        <w:spacing w:after="120"/>
      </w:pPr>
      <w:r>
        <w:rPr>
          <w:b w:val="0"/>
          <w:i w:val="0"/>
          <w:color w:val="A32020"/>
          <w:sz w:val="19"/>
        </w:rPr>
        <w:t>The 31% prescribing figure and the 30,000 logged visits both come from published analyses of the 2013 and 2015 Kumbh digital surveillance work. Find and paste the citation here before presenting, or use the softened wording already in row 3. A public-health judge may know this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