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Akhilesh - DATA 266 Homework 1 Report</w:t>
      </w:r>
    </w:p>
    <w:p>
      <w:pPr>
        <w:pStyle w:val="Heading1"/>
      </w:pPr>
      <w:r>
        <w:t xml:space="preserve">Personal Parameters</w:t>
      </w:r>
    </w:p>
    <w:p>
      <w:pPr/>
      <w:r>
        <w:t xml:space="preserve">SID4=6812, SEED=6812, SLICE=812, HP_ID=2, CLS_A=2, CLS_B=9.</w:t>
      </w:r>
    </w:p>
    <w:p>
      <w:pPr>
        <w:pStyle w:val="Heading1"/>
      </w:pPr>
      <w:r>
        <w:t xml:space="preserve">Autoregressive Models</w:t>
      </w:r>
    </w:p>
    <w:p>
      <w:pPr/>
      <w:r>
        <w:t xml:space="preserve">An autoregressive model predicts the next value by conditioning on previous values. In language modeling, this means predicting the next token from the tokens that have already appeared. In time-series work, it means predicting the next observation from earlier observations. Real-world examples include text autocomplete, ChatGPT-style text generation, code completion, weather or electricity-demand forecasting, speech generation, and music generation.</w:t>
      </w:r>
    </w:p>
    <w:p>
      <w:pPr>
        <w:pStyle w:val="Heading1"/>
      </w:pPr>
      <w:r>
        <w:t xml:space="preserve">Diabetes Dataset Experiment</w:t>
      </w:r>
    </w:p>
    <w:p>
      <w:pPr/>
      <w:r>
        <w:t xml:space="preserve">The diabetes CSV file was treated as a binary classification dataset. The first eight columns were used as numeric input features, and the final column was used as the diabetes label. The same 70% training, 15% validation, and 15% testing split was used for every model comparison with random_state=6812.</w:t>
      </w:r>
    </w:p>
    <w:p>
      <w:pPr/>
      <w:r>
        <w:t xml:space="preserve">The baseline feedforward neural network used hidden layers [64, 32], learning rate 0.001, and 30 epochs in both PyTorch and TensorFlow. For my assigned HP_ID=2, the modified model kept hidden layers [64, 32] and 30 epochs, but increased the learning rate to 0.003. Each baseline and modified model was trained three times using training seeds 6812, 6813, and 6814.</w:t>
      </w:r>
    </w:p>
    <w:p>
      <w:pPr>
        <w:pStyle w:val="Heading1"/>
      </w:pPr>
      <w:r>
        <w:t xml:space="preserve">Diabetes Results</w:t>
      </w:r>
    </w:p>
    <w:p>
      <w:pPr/>
      <w:r>
        <w:t xml:space="preserve">PyTorch baseline test accuracy had mean 0.7339 and standard deviation 0.0268. PyTorch modified_HP2 test accuracy had mean 0.7602 and standard deviation 0.0101.</w:t>
      </w:r>
    </w:p>
    <w:p>
      <w:pPr/>
      <w:r>
        <w:t xml:space="preserve">TensorFlow baseline test accuracy had mean 0.7251 and standard deviation 0.0221. TensorFlow modified_HP2 test accuracy had mean 0.7573 and standard deviation 0.0051.</w:t>
      </w:r>
    </w:p>
    <w:p>
      <w:pPr/>
      <w:r>
        <w:t xml:space="preserve">The HP_ID=2 change improved mean test accuracy in both frameworks. The modified model also had lower standard deviation across the three training seeds. Based on the reported results and the loss curves in the notebook, the higher learning rate helped this dataset and did not show a strong sign of overfitting.</w:t>
      </w:r>
    </w:p>
    <w:p>
      <w:pPr>
        <w:pStyle w:val="Heading1"/>
      </w:pPr>
      <w:r>
        <w:t xml:space="preserve">CUDA Matrix Multiplication</w:t>
      </w:r>
    </w:p>
    <w:p>
      <w:pPr/>
      <w:r>
        <w:t xml:space="preserve">The CUDA program implements square matrix multiplication using a two-dimensional grid of blocks. Each block contains 16 by 16 threads, and each thread computes one output element C[row, col] by taking the dot product of one row of A and one column of B. CUDA events were used to measure GPU kernel time separately from host-to-device and device-to-host transfer time.</w:t>
      </w:r>
    </w:p>
    <w:p>
      <w:pPr>
        <w:pStyle w:val="Heading1"/>
      </w:pPr>
      <w:r>
        <w:t xml:space="preserve">CUDA Timing Results</w:t>
      </w:r>
    </w:p>
    <w:p>
      <w:pPr/>
      <w:r>
        <w:t xml:space="preserve">Matrix size 256: CPU 21.643 ms, GPU kernel 0.121 ms, H2D+D2H transfer 0.279 ms, end-to-end speedup 54.020.</w:t>
      </w:r>
    </w:p>
    <w:p>
      <w:pPr/>
      <w:r>
        <w:t xml:space="preserve">Matrix size 1024: CPU 3305.822 ms, GPU kernel 0.903 ms, H2D+D2H transfer 3.013 ms, end-to-end speedup 844.163.</w:t>
      </w:r>
    </w:p>
    <w:p>
      <w:pPr/>
      <w:r>
        <w:t xml:space="preserve">Matrix size 4096: CPU 657903.697 ms, GPU kernel 67.836 ms, H2D+D2H transfer 42.927 ms, end-to-end speedup 5939.709.</w:t>
      </w:r>
    </w:p>
    <w:p>
      <w:pPr>
        <w:pStyle w:val="Heading1"/>
      </w:pPr>
      <w:r>
        <w:t xml:space="preserve">CUDA Profiling and Interpretation</w:t>
      </w:r>
    </w:p>
    <w:p>
      <w:pPr/>
      <w:r>
        <w:t xml:space="preserve">Nsight Systems was attempted first, but nsys was not installed in the Colab environment. Nsight Compute was available, so ncu was used as the profiler. It profiled matmul_kernel for all three matrix sizes and reported kernel durations of about 28.80 us for 256, 895.10 us for 1024, and 67.76 ms for 4096.</w:t>
      </w:r>
    </w:p>
    <w:p>
      <w:pPr/>
      <w:r>
        <w:t xml:space="preserve">In these measurements, GPU end-to-end time was already beneficial at matrix size 256. The crossover is not at size zero because CUDA has fixed overhead from launching a kernel and copying data between host and device. For very small matrices, that overhead can dominate the arithmetic work. As matrix size increases, the amount of parallel computation grows much faster than transfer overhead, so GPU speedup becomes much larger.</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rPr>
      <w:sz w:val="22"/>
    </w:rPr>
    <w:pPr>
      <w:spacing w:after="160" w:line="276" w:lineRule="auto"/>
    </w:pPr>
  </w:style>
  <w:style w:type="paragraph" w:styleId="Title">
    <w:name w:val="Title"/>
    <w:rPr>
      <w:b/>
      <w:sz w:val="32"/>
    </w:rPr>
    <w:pPr>
      <w:spacing w:after="240"/>
    </w:pPr>
  </w:style>
  <w:style w:type="paragraph" w:styleId="Heading1">
    <w:name w:val="heading 1"/>
    <w:rPr>
      <w:b/>
      <w:sz w:val="26"/>
    </w:rPr>
    <w:pPr>
      <w:spacing w:before="240" w:after="120"/>
    </w:pPr>
  </w:style>
</w:styles>
</file>