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MACHINE LEARNING EXAM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Tursunov Akhmadjon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Model Reporting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Ushbu bo'lim loyihaning qisqacha tavsifi, maqsadi va asosiy natijalarini taqdim etadi.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Maqsad: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Ushbu loyiha maqsadi</w:t>
      </w:r>
      <w:r w:rsidDel="00000000" w:rsidR="00000000" w:rsidRPr="00000000">
        <w:rPr>
          <w:rtl w:val="0"/>
        </w:rPr>
        <w:t xml:space="preserve"> ‘Big Market’dan olingan ma’lumotlarga asoslanib, Item outlet sales (Narxini) bashorat qilish.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Haqida Umumiy Ma'lumot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Ma'lumotlar to'plami </w:t>
      </w:r>
      <w:r w:rsidDel="00000000" w:rsidR="00000000" w:rsidRPr="00000000">
        <w:rPr>
          <w:color w:val="1f1f1f"/>
          <w:highlight w:val="white"/>
          <w:rtl w:val="0"/>
        </w:rPr>
        <w:t xml:space="preserve">8523</w:t>
      </w:r>
      <w:r w:rsidDel="00000000" w:rsidR="00000000" w:rsidRPr="00000000">
        <w:rPr>
          <w:rtl w:val="0"/>
        </w:rPr>
        <w:t xml:space="preserve"> tani tashkil etib, 10 ta xususiyat(features)dan va Target feature “</w:t>
      </w:r>
      <w:r w:rsidDel="00000000" w:rsidR="00000000" w:rsidRPr="00000000">
        <w:rPr>
          <w:b w:val="1"/>
          <w:highlight w:val="white"/>
          <w:rtl w:val="0"/>
        </w:rPr>
        <w:t xml:space="preserve">Item_Outlet_Sales</w:t>
      </w:r>
      <w:r w:rsidDel="00000000" w:rsidR="00000000" w:rsidRPr="00000000">
        <w:rPr>
          <w:rtl w:val="0"/>
        </w:rPr>
        <w:t xml:space="preserve">” iborat. 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Raqamli o'zgaruvchilar: </w:t>
      </w:r>
      <w:r w:rsidDel="00000000" w:rsidR="00000000" w:rsidRPr="00000000">
        <w:rPr>
          <w:color w:val="1f1f1f"/>
          <w:highlight w:val="white"/>
          <w:rtl w:val="0"/>
        </w:rPr>
        <w:t xml:space="preserve">Item_Weight, Item_Visibility, Item_MRP, Outlet_Establishment_Year, Item_Outlet_Sales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Kategorik o'zgaruvchilar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Item_Identifier, Item_Fat_Content, Item_Type, Outlet_Identifier, Outlet_Size, Outlet_Location_Type, Outlet_Type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972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986"/>
            <w:gridCol w:w="4986"/>
            <w:tblGridChange w:id="0">
              <w:tblGrid>
                <w:gridCol w:w="4986"/>
                <w:gridCol w:w="498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028950" cy="2171700"/>
                      <wp:effectExtent b="0" l="0" r="0" t="0"/>
                      <wp:docPr id="103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8950" cy="2171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028950" cy="2184400"/>
                      <wp:effectExtent b="0" l="0" r="0" t="0"/>
                      <wp:docPr id="104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8950" cy="2184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028950" cy="2184400"/>
                      <wp:effectExtent b="0" l="0" r="0" t="0"/>
                      <wp:docPr id="104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8950" cy="2184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028950" cy="2209800"/>
                      <wp:effectExtent b="0" l="0" r="0" t="0"/>
                      <wp:docPr id="103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8950" cy="2209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Feature.lar o’rtasidagi bo’g’liqlikni ko’rishimiz mumkinki u Chiziqli emas. Shu sababli biz Non-Linear Modellardan foydalanamzi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jarayoni (Decision Tree)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 bilan ishlash: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shd w:fill="eeeeee" w:val="clear"/>
          <w:rtl w:val="0"/>
        </w:rPr>
        <w:t xml:space="preserve">Item_Type va Outlet_Size</w:t>
      </w:r>
      <w:r w:rsidDel="00000000" w:rsidR="00000000" w:rsidRPr="00000000">
        <w:rPr>
          <w:rtl w:val="0"/>
        </w:rPr>
        <w:t xml:space="preserve"> featureimizdagai Null valuelarni mode() orqali,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Item_Weight f</w:t>
      </w:r>
      <w:r w:rsidDel="00000000" w:rsidR="00000000" w:rsidRPr="00000000">
        <w:rPr>
          <w:rtl w:val="0"/>
        </w:rPr>
        <w:t xml:space="preserve">eatureimizdagai Null valuelarni mean() orqali to’ldirdik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Outlet_Size'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'Outlet_Location_Type'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'Outlet_Type’ feature.larni One-hot encoding (cordinalaty&lt;4) bilan qoganlarini </w:t>
      </w:r>
      <w:r w:rsidDel="00000000" w:rsidR="00000000" w:rsidRPr="00000000">
        <w:rPr>
          <w:rtl w:val="0"/>
        </w:rPr>
        <w:t xml:space="preserve">label encoding bilan raqamli ko’rinishga o’tkazdik.  Bu data setimizni toliqligicha numerical o’rinishga o’tkazishga yordam beradi.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Malumotlarimizni Standard scaling orqali muvozanatga olib keldik.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Maʼlumotlarni boʻlish: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Dataset imizni 70% ini traingn uchun qolgan 30% izini test uchun bo’lib oldik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jarayoni (LGBoost)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Barcha ‘object’ type dagi feature.larimizni ‘</w:t>
      </w:r>
      <w:r w:rsidDel="00000000" w:rsidR="00000000" w:rsidRPr="00000000">
        <w:rPr>
          <w:rtl w:val="0"/>
        </w:rPr>
        <w:t xml:space="preserve">category’ga o’tkazdik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Modelni Rivojlantirish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Tayyor data set imizni Decision Tree Regression, LGBoost modellarida o’qitib, ularni o’zaro solishtiramiz.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LGBoost da data </w:t>
      </w:r>
      <w:r w:rsidDel="00000000" w:rsidR="00000000" w:rsidRPr="00000000">
        <w:rPr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jarayoni ancha kam bo’ldi va ularning qulay tomoni hisoblanadi. Undan tashqari LGBoost teskor va kichik data setlar uchun maqul model hisoblanadi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daraxt strukturasiga asoslanib ma’lumotlarni juda yaxshi o’rganadi. 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Decision Tree da model o’qitilgandan so’ng mse=</w:t>
      </w:r>
      <w:r w:rsidDel="00000000" w:rsidR="00000000" w:rsidRPr="00000000">
        <w:rPr>
          <w:rtl w:val="0"/>
        </w:rPr>
        <w:t xml:space="preserve">238736.8131542644, r2=20% natija berdi, Bagging orqali modelni yaxshilashga urinib ko’rdik va mse=1251585.2461680584, r2=55% ga yaxshilandi, ammo bu yetarli emas.Hyper parametr tuning dan so’ng natijamiz ko’tarildi ammo sezilarmi emas. 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Modelni Baholash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Mean square error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Xulosa</w:t>
      </w:r>
      <w:r w:rsidDel="00000000" w:rsidR="00000000" w:rsidRPr="00000000">
        <w:rPr/>
        <w:drawing>
          <wp:inline distB="114300" distT="114300" distL="114300" distR="114300">
            <wp:extent cx="6332220" cy="1562100"/>
            <wp:effectExtent b="0" l="0" r="0" t="0"/>
            <wp:docPr id="10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Natijadan ko’rinib turibdiki LGBoost biza uchun ma’qul model.</w:t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4097"/>
    <w:next w:val="style4097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4097"/>
    <w:next w:val="style4097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4097"/>
    <w:next w:val="style4097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4097"/>
    <w:next w:val="style4097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4097"/>
    <w:next w:val="style4097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4097"/>
    <w:next w:val="style4097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74">
    <w:name w:val="Subtitle"/>
    <w:basedOn w:val="style4097"/>
    <w:next w:val="style4097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154">
    <w:name w:val="Table Grid"/>
    <w:basedOn w:val="style105"/>
    <w:next w:val="style154"/>
    <w:uiPriority w:val="59"/>
    <w:pPr/>
    <w:rPr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c0c0c0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c0c0c0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808080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808080" w:val="clear"/>
      </w:tcPr>
    </w:tblStyle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3dfee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3dfee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7bfde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7bfde" w:val="clear"/>
      </w:tcPr>
    </w:tblStyle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fd3d2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fd3d2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dfa7a6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dfa7a6" w:val="clear"/>
      </w:tcPr>
    </w:tblStyle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6eed5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6eed5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cdddac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cdddac" w:val="clear"/>
      </w:tcPr>
    </w:tblStyle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fd8e8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fd8e8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bfb1d0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bfb1d0" w:val="clear"/>
      </w:tcPr>
    </w:tblStyle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2eaf1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2eaf1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5d5e2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5d5e2" w:val="clear"/>
      </w:tcPr>
    </w:tblStyle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fde4d0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de4d0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fbcaa2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fbcaa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4d0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8Uy9INycV15gFydeQ2w4nCR3kA==">CgMxLjAaHgoBMBIZChcICVITChF0YWJsZS53ZTJxbTExc2czYTgAciExWmlseDd2T242a2hXRjBJS2pWTG5oUGt4VHZrYm5OS28=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2024-11-30T06:44:00Z</dcterms:created>
  <dc:creator>Пользователь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f3282f8fb770444ca63b39c8e981680d</vt:lpwstr>
  </property>
</Properties>
</file>