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MACHINE LEARNING EXAM 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Tursunov Akhmadjon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Model Reporting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Ushbu bo'lim loyihaning qisqacha tavsifi, maqsadi va asosiy natijalarini taqdim etadi.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Maqsad: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Ushbu loyiha maqsadi</w:t>
      </w:r>
      <w:r w:rsidDel="00000000" w:rsidR="00000000" w:rsidRPr="00000000">
        <w:rPr>
          <w:rtl w:val="0"/>
        </w:rPr>
        <w:t xml:space="preserve"> taxi mijozlaridan olingan ma’lumotlarga asoslanib, asoslanib yo’l haqini aniqlashdir.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Haqida Umumiy Ma'lumot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Ma'lumotlar to'plami 1 000 tani tashkil etib, 11 ta xususiyat(features)dan iborat. Target feature “Trip_price”.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Raqamli o'zgaruvchilar: Trip_Distance_km, Passenger_Count, Base_Fare, Per_Km_Rate, Per_Minute_Rate, Trip_Duration_Minutes, Trip_Price.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Kategorik o'zgaruvchilar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Time_of_Day, Day_of_Week, Traffic_Conditions, Weather.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Preprocessing jarayoni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value bilan ishlash: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Target featureimizdagai Null valuelarni mode() orqali to’ldirdik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Random forest uchun kategorik o'zgaruvchilarni barchasini label encoding bilan raqamli ko’rinishga o’tkazdik.  Bu data setimizni toliqligicha numerical o’rinishga o’tkazishga yordam beradi.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Scaling: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Malumotlarimizni Standard scaling orqali muvozanatga olib keldik ammo bu faqat Random forest uchun kerak.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Maʼlumotlarni boʻlish: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Dataset imizni 80% ini traingn uchun qolgan 20% izini test uchun bo’lib oldik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Modelni Rivojlantirish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Tayyor data set imizni XGBoost, LGBoost va Random Forest modellar ga o’qitib, ularni o’zaro solishtiramiz.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XGBoost, LGBoost da data preprocessiong jarayoni ancha kam bo’ldi va ularning qulay tomoni hisoblanadi.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Modelni Baholash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Mean square error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Mean absolute error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 score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Xulosa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</w:rPr>
        <w:drawing>
          <wp:inline distB="114300" distT="114300" distL="114300" distR="114300">
            <wp:extent cx="6332220" cy="1727200"/>
            <wp:effectExtent b="0" l="0" r="0" t="0"/>
            <wp:docPr id="10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Natijamiz quyidagicha eng yaxshi model LGBoosting bo’ldi u har bir baholash parametrlarida qolganlariga nisbatan yaxshi ko’rsatgich ko’rsatdi.</w:t>
      </w:r>
    </w:p>
    <w:p w:rsidR="00000000" w:rsidDel="00000000" w:rsidP="00000000" w:rsidRDefault="00000000" w:rsidRPr="00000000" w14:paraId="00000021">
      <w:pPr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tyle4097" w:customStyle="1">
    <w:name w:val="normal"/>
    <w:next w:val="style4097"/>
    <w:pPr/>
  </w:style>
  <w:style w:type="table" w:styleId="style4098" w:customStyle="1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 w:val="1"/>
      <w:keepLines w:val="1"/>
      <w:pageBreakBefore w:val="0"/>
      <w:spacing w:after="120" w:before="480"/>
    </w:pPr>
    <w:rPr>
      <w:b w:val="1"/>
      <w:sz w:val="48"/>
      <w:szCs w:val="48"/>
    </w:rPr>
  </w:style>
  <w:style w:type="paragraph" w:styleId="style2">
    <w:name w:val="heading 2"/>
    <w:basedOn w:val="style4097"/>
    <w:next w:val="style4097"/>
    <w:pPr>
      <w:keepNext w:val="1"/>
      <w:keepLines w:val="1"/>
      <w:pageBreakBefore w:val="0"/>
      <w:spacing w:after="80" w:before="360"/>
    </w:pPr>
    <w:rPr>
      <w:b w:val="1"/>
      <w:sz w:val="36"/>
      <w:szCs w:val="36"/>
    </w:rPr>
  </w:style>
  <w:style w:type="paragraph" w:styleId="style3">
    <w:name w:val="heading 3"/>
    <w:basedOn w:val="style4097"/>
    <w:next w:val="style4097"/>
    <w:pPr>
      <w:keepNext w:val="1"/>
      <w:keepLines w:val="1"/>
      <w:pageBreakBefore w:val="0"/>
      <w:spacing w:after="80" w:before="280"/>
    </w:pPr>
    <w:rPr>
      <w:b w:val="1"/>
      <w:sz w:val="28"/>
      <w:szCs w:val="28"/>
    </w:rPr>
  </w:style>
  <w:style w:type="paragraph" w:styleId="style4">
    <w:name w:val="heading 4"/>
    <w:basedOn w:val="style4097"/>
    <w:next w:val="style4097"/>
    <w:pPr>
      <w:keepNext w:val="1"/>
      <w:keepLines w:val="1"/>
      <w:pageBreakBefore w:val="0"/>
      <w:spacing w:after="40" w:before="240"/>
    </w:pPr>
    <w:rPr>
      <w:b w:val="1"/>
      <w:sz w:val="24"/>
      <w:szCs w:val="24"/>
    </w:rPr>
  </w:style>
  <w:style w:type="paragraph" w:styleId="style5">
    <w:name w:val="heading 5"/>
    <w:basedOn w:val="style4097"/>
    <w:next w:val="style4097"/>
    <w:pPr>
      <w:keepNext w:val="1"/>
      <w:keepLines w:val="1"/>
      <w:pageBreakBefore w:val="0"/>
      <w:spacing w:after="40" w:before="220"/>
    </w:pPr>
    <w:rPr>
      <w:b w:val="1"/>
      <w:sz w:val="22"/>
      <w:szCs w:val="22"/>
    </w:rPr>
  </w:style>
  <w:style w:type="paragraph" w:styleId="style6">
    <w:name w:val="heading 6"/>
    <w:basedOn w:val="style4097"/>
    <w:next w:val="style4097"/>
    <w:pPr>
      <w:keepNext w:val="1"/>
      <w:keepLines w:val="1"/>
      <w:pageBreakBefore w:val="0"/>
      <w:spacing w:after="40" w:before="200"/>
    </w:pPr>
    <w:rPr>
      <w:b w:val="1"/>
      <w:sz w:val="20"/>
      <w:szCs w:val="20"/>
    </w:rPr>
  </w:style>
  <w:style w:type="paragraph" w:styleId="style62">
    <w:name w:val="Title"/>
    <w:basedOn w:val="style4097"/>
    <w:next w:val="style4097"/>
    <w:pPr>
      <w:keepNext w:val="1"/>
      <w:keepLines w:val="1"/>
      <w:pageBreakBefore w:val="0"/>
      <w:spacing w:after="120" w:before="480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paragraph" w:styleId="style74">
    <w:name w:val="Subtitle"/>
    <w:basedOn w:val="style4097"/>
    <w:next w:val="style4097"/>
    <w:pPr>
      <w:keepNext w:val="1"/>
      <w:keepLines w:val="1"/>
      <w:pageBreakBefore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style154">
    <w:name w:val="Table Grid"/>
    <w:basedOn w:val="style105"/>
    <w:next w:val="style154"/>
    <w:uiPriority w:val="59"/>
    <w:pPr/>
    <w:rPr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c0c0c0" w:val="clear"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c0c0c0" w:val="clear"/>
    </w:tcPr>
    <w:tblStylePr w:type="fir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000000" w:val="clear"/>
      </w:tcPr>
    </w:tblStylePr>
    <w:tblStylePr w:type="la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000000" w:val="clear"/>
      </w:tcPr>
    </w:tblStylePr>
    <w:tblStylePr w:type="band1Horz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808080" w:val="clear"/>
      </w:tcPr>
    </w:tblStylePr>
    <w:tblStylePr w:type="firstCol">
      <w:pPr/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pPr/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808080" w:val="clear"/>
      </w:tcPr>
    </w:tblStyle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d3dfee" w:val="clear"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d3dfee" w:val="clear"/>
    </w:tcPr>
    <w:tblStylePr w:type="fir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4f81bd" w:val="clear"/>
      </w:tcPr>
    </w:tblStylePr>
    <w:tblStylePr w:type="la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4f81bd" w:val="clear"/>
      </w:tcPr>
    </w:tblStylePr>
    <w:tblStylePr w:type="band1Horz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a7bfde" w:val="clear"/>
      </w:tcPr>
    </w:tblStylePr>
    <w:tblStylePr w:type="firstCol">
      <w:pPr/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Col">
      <w:pPr/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band1Vert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a7bfde" w:val="clear"/>
      </w:tcPr>
    </w:tblStyle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efd3d2" w:val="clear"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efd3d2" w:val="clear"/>
    </w:tcPr>
    <w:tblStylePr w:type="fir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c0504d" w:val="clear"/>
      </w:tcPr>
    </w:tblStylePr>
    <w:tblStylePr w:type="la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c0504d" w:val="clear"/>
      </w:tcPr>
    </w:tblStylePr>
    <w:tblStylePr w:type="band1Horz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dfa7a6" w:val="clear"/>
      </w:tcPr>
    </w:tblStylePr>
    <w:tblStylePr w:type="firstCol">
      <w:pPr/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c0504d" w:val="clear"/>
      </w:tcPr>
    </w:tblStylePr>
    <w:tblStylePr w:type="lastCol">
      <w:pPr/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band1Vert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dfa7a6" w:val="clear"/>
      </w:tcPr>
    </w:tblStyle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e6eed5" w:val="clear"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e6eed5" w:val="clear"/>
    </w:tcPr>
    <w:tblStylePr w:type="fir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9bbb59" w:val="clear"/>
      </w:tcPr>
    </w:tblStylePr>
    <w:tblStylePr w:type="la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9bbb59" w:val="clear"/>
      </w:tcPr>
    </w:tblStylePr>
    <w:tblStylePr w:type="band1Horz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cdddac" w:val="clear"/>
      </w:tcPr>
    </w:tblStylePr>
    <w:tblStylePr w:type="firstCol">
      <w:pPr/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Col">
      <w:pPr/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band1Vert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cdddac" w:val="clear"/>
      </w:tcPr>
    </w:tblStyle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dfd8e8" w:val="clear"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dfd8e8" w:val="clear"/>
    </w:tcPr>
    <w:tblStylePr w:type="fir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8064a2" w:val="clear"/>
      </w:tcPr>
    </w:tblStylePr>
    <w:tblStylePr w:type="la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8064a2" w:val="clear"/>
      </w:tcPr>
    </w:tblStylePr>
    <w:tblStylePr w:type="band1Horz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bfb1d0" w:val="clear"/>
      </w:tcPr>
    </w:tblStylePr>
    <w:tblStylePr w:type="firstCol">
      <w:pPr/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8064a2" w:val="clear"/>
      </w:tcPr>
    </w:tblStylePr>
    <w:tblStylePr w:type="lastCol">
      <w:pPr/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band1Vert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bfb1d0" w:val="clear"/>
      </w:tcPr>
    </w:tblStyle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d2eaf1" w:val="clear"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d2eaf1" w:val="clear"/>
    </w:tcPr>
    <w:tblStylePr w:type="fir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4bacc6" w:val="clear"/>
      </w:tcPr>
    </w:tblStylePr>
    <w:tblStylePr w:type="la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4bacc6" w:val="clear"/>
      </w:tcPr>
    </w:tblStylePr>
    <w:tblStylePr w:type="band1Horz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a5d5e2" w:val="clear"/>
      </w:tcPr>
    </w:tblStylePr>
    <w:tblStylePr w:type="firstCol">
      <w:pPr/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Col">
      <w:pPr/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band1Vert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a5d5e2" w:val="clear"/>
      </w:tcPr>
    </w:tblStyle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fde4d0" w:val="clear"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fde4d0" w:val="clear"/>
    </w:tcPr>
    <w:tblStylePr w:type="fir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f79646" w:val="clear"/>
      </w:tcPr>
    </w:tblStylePr>
    <w:tblStylePr w:type="la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f79646" w:val="clear"/>
      </w:tcPr>
    </w:tblStylePr>
    <w:tblStylePr w:type="band1Horz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fbcaa2" w:val="clear"/>
      </w:tcPr>
    </w:tblStylePr>
    <w:tblStylePr w:type="firstCol">
      <w:pPr/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f79646" w:val="clear"/>
      </w:tcPr>
    </w:tblStylePr>
    <w:tblStylePr w:type="lastCol">
      <w:pPr/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band1Vert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fbcaa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de4d0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4d0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ajg76dl9DE0cLH7XtMOSNVCPwA==">CgMxLjA4AHIhMU5jM1ppNFhaQWUxQ2NZdUF0d2M4UTdTdjcxNmwwT0p2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2024-11-30T06:44:00Z</dcterms:created>
  <dc:creator>Пользователь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f3282f8fb770444ca63b39c8e981680d</vt:lpwstr>
  </property>
</Properties>
</file>