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jc w:val="center"/>
      </w:pPr>
      <w:r>
        <w:rPr>
          <w:b/>
          <w:bCs/>
          <w:color w:val="1E3A5F"/>
          <w:sz w:val="72"/>
          <w:szCs w:val="72"/>
        </w:rPr>
        <w:t xml:space="preserve">PandaTrader</w:t>
      </w:r>
    </w:p>
    <w:p>
      <w:pPr>
        <w:jc w:val="center"/>
      </w:pPr>
      <w:r>
        <w:rPr>
          <w:b/>
          <w:bCs/>
          <w:color w:val="2563EB"/>
          <w:sz w:val="36"/>
          <w:szCs w:val="36"/>
        </w:rPr>
        <w:t xml:space="preserve">Deep Strategy Review &amp; Next-Generation Ideas</w:t>
      </w:r>
    </w:p>
    <w:p>
      <w:pPr>
        <w:spacing w:before="160"/>
        <w:jc w:val="center"/>
      </w:pPr>
      <w:r>
        <w:rPr>
          <w:color w:val="64748B"/>
          <w:sz w:val="24"/>
          <w:szCs w:val="24"/>
        </w:rPr>
        <w:t xml:space="preserve">Prepared: February 18, 2026  •  First-Principles Research Report</w:t>
      </w:r>
    </w:p>
    <w:p>
      <w:pPr>
        <w:pBdr>
          <w:bottom w:val="single" w:color="2563EB" w:sz="4" w:space="1"/>
        </w:pBdr>
        <w:spacing w:before="160" w:after="160"/>
      </w:pPr>
      <w:r>
        <w:t xml:space="preserve"/>
      </w:r>
    </w:p>
    <w:p>
      <w:pPr>
        <w:pStyle w:val="Heading1"/>
        <w:spacing w:before="360" w:after="160"/>
      </w:pPr>
      <w:r>
        <w:rPr>
          <w:b/>
          <w:bCs/>
          <w:color w:val="1E3A5F"/>
          <w:sz w:val="36"/>
          <w:szCs w:val="36"/>
        </w:rPr>
        <w:t xml:space="preserve">1. Current State: What the Data Actually Says</w:t>
      </w:r>
    </w:p>
    <w:p>
      <w:pPr>
        <w:spacing w:before="80" w:after="120"/>
      </w:pPr>
      <w:r>
        <w:t xml:space="preserve">You have built something genuinely rigorous. You have five validated strategies, a walk-forward pipeline, Monte Carlo stress tests, and 16 passing unit tests. That puts you in the top ~5% of retail algo traders. But the numbers tell a more nuanced story that must be read carefully before deploying any capital.</w:t>
      </w:r>
    </w:p>
    <w:p>
      <w:pPr>
        <w:pStyle w:val="Heading2"/>
        <w:spacing w:before="280" w:after="120"/>
      </w:pPr>
      <w:r>
        <w:rPr>
          <w:b/>
          <w:bCs/>
          <w:color w:val="2563EB"/>
          <w:sz w:val="28"/>
          <w:szCs w:val="28"/>
        </w:rPr>
        <w:t xml:space="preserve">1.1 Strategy Scorecard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2160"/>
        <w:gridCol w:w="1440"/>
        <w:gridCol w:w="1800"/>
        <w:gridCol w:w="1440"/>
      </w:tblGrid>
      <w:tr>
        <w:tc>
          <w:tcPr>
            <w:tcW w:type="dxa" w:w="25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Strategy</w:t>
            </w:r>
          </w:p>
        </w:tc>
        <w:tc>
          <w:tcPr>
            <w:tcW w:type="dxa" w:w="2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Best Result</w:t>
            </w:r>
          </w:p>
        </w:tc>
        <w:tc>
          <w:tcPr>
            <w:tcW w:type="dxa" w:w="14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Sample Size</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Key Risk</w:t>
            </w:r>
          </w:p>
        </w:tc>
        <w:tc>
          <w:tcPr>
            <w:tcW w:type="dxa" w:w="14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Verdict</w:t>
            </w:r>
          </w:p>
        </w:tc>
      </w:tr>
      <w:tr>
        <w:tc>
          <w:tcPr>
            <w:tcW w:type="dxa" w:w="25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S1: Weekend Momentum</w:t>
            </w:r>
          </w:p>
        </w:tc>
        <w:tc>
          <w:tcPr>
            <w:tcW w:type="dxa" w:w="2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+20.84% OOS (BTC WFA), +47/24/97% backtest</w:t>
            </w:r>
          </w:p>
        </w:tc>
        <w:tc>
          <w:tcPr>
            <w:tcW w:type="dxa" w:w="14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9 WFA trades (low!)</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N too small to trust win rate</w:t>
            </w:r>
          </w:p>
        </w:tc>
        <w:tc>
          <w:tcPr>
            <w:tcW w:type="dxa" w:w="14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 Approved, satellite only</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S2: Funding Reversion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+20.47% OOS ETH; -15% BTC</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226 ETH trades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86% chance of &gt;20% DD (Monte Carlo)</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Approved w/ caution</w:t>
            </w:r>
          </w:p>
        </w:tc>
      </w:tr>
      <w:tr>
        <w:tc>
          <w:tcPr>
            <w:tcW w:type="dxa" w:w="25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S3: Token Unlocks</w:t>
            </w:r>
          </w:p>
        </w:tc>
        <w:tc>
          <w:tcPr>
            <w:tcW w:type="dxa" w:w="2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+64.85% OP, +34.22% SUI, -27% APT</w:t>
            </w:r>
          </w:p>
        </w:tc>
        <w:tc>
          <w:tcPr>
            <w:tcW w:type="dxa" w:w="14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Sparse events</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No trend filter; shorts in bull markets kill it</w:t>
            </w:r>
          </w:p>
        </w:tc>
        <w:tc>
          <w:tcPr>
            <w:tcW w:type="dxa" w:w="14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 Provisional (L2s only)</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S4: Cascade Bounce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ETH +3.84%, BTC -3.74%</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5–8 trades per asset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Too rare, misses V-bottoms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Hold — benchwarm</w:t>
            </w:r>
          </w:p>
        </w:tc>
      </w:tr>
      <w:tr>
        <w:tc>
          <w:tcPr>
            <w:tcW w:type="dxa" w:w="25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S5: Regime Grid</w:t>
            </w:r>
          </w:p>
        </w:tc>
        <w:tc>
          <w:tcPr>
            <w:tcW w:type="dxa" w:w="2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+0.24% vs -29% B&amp;H in bear</w:t>
            </w:r>
          </w:p>
        </w:tc>
        <w:tc>
          <w:tcPr>
            <w:tcW w:type="dxa" w:w="14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6 trades</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Makes nothing in bull markets</w:t>
            </w:r>
          </w:p>
        </w:tc>
        <w:tc>
          <w:tcPr>
            <w:tcW w:type="dxa" w:w="14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 Capital preservation only</w:t>
            </w:r>
          </w:p>
        </w:tc>
      </w:tr>
    </w:tbl>
    <w:p>
      <w:pPr>
        <w:spacing w:before="80" w:after="80"/>
      </w:pPr>
      <w:r>
        <w:t xml:space="preserve"/>
      </w:r>
    </w:p>
    <w:p>
      <w:pPr>
        <w:pStyle w:val="Heading2"/>
        <w:spacing w:before="280" w:after="120"/>
      </w:pPr>
      <w:r>
        <w:rPr>
          <w:b/>
          <w:bCs/>
          <w:color w:val="2563EB"/>
          <w:sz w:val="28"/>
          <w:szCs w:val="28"/>
        </w:rPr>
        <w:t xml:space="preserve">1.2 The Critical Numbers That Matter Most</w:t>
      </w:r>
    </w:p>
    <w:p>
      <w:pPr>
        <w:spacing w:before="80" w:after="120"/>
      </w:pPr>
      <w:r>
        <w:t xml:space="preserve">Portfolio Sharpe (combined equal-weight) is 0.46. This is not good enough. A risk-free rate is ~5% in 2026; your combined Sharpe needs to clear 1.0 to justify the operational and execution risk. The 86% probability of a &gt;20% drawdown in Strategy 2 is the single most alarming figure in your results. Your Monte Carlo median final equity is $1,227 on ETH WFA — that is a +22.7% return at the median, but your 95% VaR is $647, meaning 1 in 20 realistic scenarios leaves you down 35% from start. This is a regime-sensitive, leveraged-feeling strategy dressed up as mean reversion.</w:t>
      </w:r>
    </w:p>
    <w:p>
      <w:pPr>
        <w:pStyle w:val="Heading2"/>
        <w:spacing w:before="280" w:after="120"/>
      </w:pPr>
      <w:r>
        <w:rPr>
          <w:b/>
          <w:bCs/>
          <w:color w:val="2563EB"/>
          <w:sz w:val="28"/>
          <w:szCs w:val="28"/>
        </w:rPr>
        <w:t xml:space="preserve">1.3 What is Actually Working (and Why)</w:t>
      </w:r>
    </w:p>
    <w:p>
      <w:pPr>
        <w:spacing w:before="80" w:after="120"/>
      </w:pPr>
      <w:r>
        <w:t xml:space="preserve">S1 and S2 are generating real edge. The source of that edge in S1 is structural: retail-dominated weekend flows create a predictable directional tilt that institutional participants don't bother arbitraging away at small scale. The source of edge in S2 is also real: the funding rate is a mechanically enforced signal — when longs pay 0.05%+ every 8 hours, the cost of carry forces eventual position unwinding. This is not a technical pattern; it is a microstructure mechanic.</w:t>
      </w:r>
    </w:p>
    <w:p>
      <w:pPr>
        <w:spacing w:before="80" w:after="120"/>
      </w:pPr>
      <w:r>
        <w:t xml:space="preserve">S3 (Token Unlocks) works on L2s precisely because the supply overhang from vesting schedules is calendar-predictable and creates anticipatory selling pressure. It failed on APT because a strong narrative overrode supply mechanics. That tells you something important: the edge is 'supply pressure vs. narrative,' and you need a narrative proxy.</w:t>
      </w:r>
    </w:p>
    <w:p>
      <w:pPr>
        <w:pStyle w:val="Heading2"/>
        <w:spacing w:before="280" w:after="120"/>
      </w:pPr>
      <w:r>
        <w:rPr>
          <w:b/>
          <w:bCs/>
          <w:color w:val="2563EB"/>
          <w:sz w:val="28"/>
          <w:szCs w:val="28"/>
        </w:rPr>
        <w:t xml:space="preserve">1.4 What is Missing (Immediate Blockers)</w:t>
      </w:r>
    </w:p>
    <w:p>
      <w:pPr>
        <w:pStyle w:val="ListParagraph"/>
        <w:numPr>
          <w:ilvl w:val="0"/>
          <w:numId w:val="2"/>
        </w:numPr>
        <w:spacing w:before="60" w:after="60"/>
      </w:pPr>
      <w:r>
        <w:rPr>
          <w:sz w:val="22"/>
          <w:szCs w:val="22"/>
        </w:rPr>
        <w:t xml:space="preserve">No live master regime switch — strategies are not talking to each other</w:t>
      </w:r>
    </w:p>
    <w:p>
      <w:pPr>
        <w:pStyle w:val="ListParagraph"/>
        <w:numPr>
          <w:ilvl w:val="0"/>
          <w:numId w:val="2"/>
        </w:numPr>
        <w:spacing w:before="60" w:after="60"/>
      </w:pPr>
      <w:r>
        <w:rPr>
          <w:sz w:val="22"/>
          <w:szCs w:val="22"/>
        </w:rPr>
        <w:t xml:space="preserve">Strategy 1 stop-loss at 5% is too loose for a 48-hour hold — tighten to 3%</w:t>
      </w:r>
    </w:p>
    <w:p>
      <w:pPr>
        <w:pStyle w:val="ListParagraph"/>
        <w:numPr>
          <w:ilvl w:val="0"/>
          <w:numId w:val="2"/>
        </w:numPr>
        <w:spacing w:before="60" w:after="60"/>
      </w:pPr>
      <w:r>
        <w:rPr>
          <w:sz w:val="22"/>
          <w:szCs w:val="22"/>
        </w:rPr>
        <w:t xml:space="preserve">No execution cost model in any backtest — slippage is unmodeled on S3 altcoins</w:t>
      </w:r>
    </w:p>
    <w:p>
      <w:pPr>
        <w:pStyle w:val="ListParagraph"/>
        <w:numPr>
          <w:ilvl w:val="0"/>
          <w:numId w:val="2"/>
        </w:numPr>
        <w:spacing w:before="60" w:after="60"/>
      </w:pPr>
      <w:r>
        <w:rPr>
          <w:sz w:val="22"/>
          <w:szCs w:val="22"/>
        </w:rPr>
        <w:t xml:space="preserve">Portfolio Sharpe 0.46 — needs &gt;1.0 to justify live deployment</w:t>
      </w:r>
    </w:p>
    <w:p>
      <w:pPr>
        <w:pStyle w:val="ListParagraph"/>
        <w:numPr>
          <w:ilvl w:val="0"/>
          <w:numId w:val="2"/>
        </w:numPr>
        <w:spacing w:before="60" w:after="60"/>
      </w:pPr>
      <w:r>
        <w:rPr>
          <w:sz w:val="22"/>
          <w:szCs w:val="22"/>
        </w:rPr>
        <w:t xml:space="preserve">WFA for S1 BTC has only 9 trades — not statistically significant</w:t>
      </w:r>
    </w:p>
    <w:p>
      <w:r>
        <w:br w:type="page"/>
      </w:r>
    </w:p>
    <w:p>
      <w:pPr>
        <w:pStyle w:val="Heading1"/>
        <w:spacing w:before="360" w:after="160"/>
      </w:pPr>
      <w:r>
        <w:rPr>
          <w:b/>
          <w:bCs/>
          <w:color w:val="1E3A5F"/>
          <w:sz w:val="36"/>
          <w:szCs w:val="36"/>
        </w:rPr>
        <w:t xml:space="preserve">2. Strategy-by-Strategy Deep Dive: What to Fix Now</w:t>
      </w:r>
    </w:p>
    <w:p>
      <w:pPr>
        <w:pStyle w:val="Heading2"/>
        <w:spacing w:before="280" w:after="120"/>
      </w:pPr>
      <w:r>
        <w:rPr>
          <w:b/>
          <w:bCs/>
          <w:color w:val="2563EB"/>
          <w:sz w:val="28"/>
          <w:szCs w:val="28"/>
        </w:rPr>
        <w:t xml:space="preserve">2.1 Strategy 1 (Weekend Momentum) — Expand the Thesis</w:t>
      </w:r>
    </w:p>
    <w:p>
      <w:pPr>
        <w:spacing w:before="80" w:after="120"/>
      </w:pPr>
      <w:r>
        <w:t xml:space="preserve">The fundamental problem is N=9 on WFA. With 9 trades, your 77.78% win rate has a 95% confidence interval of roughly [40%–98%]. You could be running a 50/50 strategy that hit a lucky streak. Specific fixes:</w:t>
      </w:r>
    </w:p>
    <w:p>
      <w:pPr>
        <w:pStyle w:val="ListParagraph"/>
        <w:numPr>
          <w:ilvl w:val="0"/>
          <w:numId w:val="2"/>
        </w:numPr>
        <w:spacing w:before="60" w:after="60"/>
      </w:pPr>
      <w:r>
        <w:rPr>
          <w:sz w:val="22"/>
          <w:szCs w:val="22"/>
        </w:rPr>
        <w:t xml:space="preserve">Expand to ETH and SOL immediately to multiply sample size. Your v2 backtest already shows BTC/ETH/SOL generate 47/24/39 trades respectively. Run WFA on all three and pool the OOS trade log.</w:t>
      </w:r>
    </w:p>
    <w:p>
      <w:pPr>
        <w:pStyle w:val="ListParagraph"/>
        <w:numPr>
          <w:ilvl w:val="0"/>
          <w:numId w:val="2"/>
        </w:numPr>
        <w:spacing w:before="60" w:after="60"/>
      </w:pPr>
      <w:r>
        <w:rPr>
          <w:sz w:val="22"/>
          <w:szCs w:val="22"/>
        </w:rPr>
        <w:t xml:space="preserve">Tighten stop from 5% to 3%. You are holding 48 hours max. A 5% stop will almost never trigger on a 2-day trade with positive drift, but when it does it is catastrophic relative to the small wins.</w:t>
      </w:r>
    </w:p>
    <w:p>
      <w:pPr>
        <w:pStyle w:val="ListParagraph"/>
        <w:numPr>
          <w:ilvl w:val="0"/>
          <w:numId w:val="2"/>
        </w:numPr>
        <w:spacing w:before="60" w:after="60"/>
      </w:pPr>
      <w:r>
        <w:rPr>
          <w:sz w:val="22"/>
          <w:szCs w:val="22"/>
        </w:rPr>
        <w:t xml:space="preserve">Add a 'volatility gate': do not enter if realized 7-day vol &gt; 75th percentile. You already have ATR filter in v2. This is the same logic; just verify the threshold.</w:t>
      </w:r>
    </w:p>
    <w:p>
      <w:pPr>
        <w:pStyle w:val="ListParagraph"/>
        <w:numPr>
          <w:ilvl w:val="0"/>
          <w:numId w:val="2"/>
        </w:numPr>
        <w:spacing w:before="60" w:after="60"/>
      </w:pPr>
      <w:r>
        <w:rPr>
          <w:sz w:val="22"/>
          <w:szCs w:val="22"/>
        </w:rPr>
        <w:t xml:space="preserve">Test the 'Monday close to Wednesday close' version. Academic literature suggests the weekend premium sometimes bleeds into Monday. This could triple your trade frequency.</w:t>
      </w:r>
    </w:p>
    <w:p>
      <w:pPr>
        <w:pStyle w:val="Heading2"/>
        <w:spacing w:before="280" w:after="120"/>
      </w:pPr>
      <w:r>
        <w:rPr>
          <w:b/>
          <w:bCs/>
          <w:color w:val="2563EB"/>
          <w:sz w:val="28"/>
          <w:szCs w:val="28"/>
        </w:rPr>
        <w:t xml:space="preserve">2.2 Strategy 2 (Funding Rate Reversion) — Fix the Catastrophic Drawdown</w:t>
      </w:r>
    </w:p>
    <w:p>
      <w:pPr>
        <w:spacing w:before="80" w:after="120"/>
      </w:pPr>
      <w:r>
        <w:t xml:space="preserve">The 86.4% probability of a &gt;20% drawdown is the most important number in your entire project. This is not a warning to be noted and set aside. Before deploying this strategy with any real capital, you must do two things:</w:t>
      </w:r>
    </w:p>
    <w:p>
      <w:pPr>
        <w:pStyle w:val="ListParagraph"/>
        <w:numPr>
          <w:ilvl w:val="0"/>
          <w:numId w:val="2"/>
        </w:numPr>
        <w:spacing w:before="60" w:after="60"/>
      </w:pPr>
      <w:r>
        <w:rPr>
          <w:sz w:val="22"/>
          <w:szCs w:val="22"/>
        </w:rPr>
        <w:t xml:space="preserve">Implement a dynamic position sizer based on the Z-score magnitude. At Z=1.5, use 0.5% risk. At Z=2.0, use 1.0%. At Z=2.5+, use 1.5%. This is conviction-weighted sizing; it naturally scales up only when the signal is extreme.</w:t>
      </w:r>
    </w:p>
    <w:p>
      <w:pPr>
        <w:pStyle w:val="ListParagraph"/>
        <w:numPr>
          <w:ilvl w:val="0"/>
          <w:numId w:val="2"/>
        </w:numPr>
        <w:spacing w:before="60" w:after="60"/>
      </w:pPr>
      <w:r>
        <w:rPr>
          <w:sz w:val="22"/>
          <w:szCs w:val="22"/>
        </w:rPr>
        <w:t xml:space="preserve">Add a 'drawdown throttle': if current open trade loss exceeds 10%, halve position size on the next signal. If it exceeds 15%, go to zero until the drawdown recovers to 8%.</w:t>
      </w:r>
    </w:p>
    <w:p>
      <w:pPr>
        <w:pStyle w:val="ListParagraph"/>
        <w:numPr>
          <w:ilvl w:val="0"/>
          <w:numId w:val="2"/>
        </w:numPr>
        <w:spacing w:before="60" w:after="60"/>
      </w:pPr>
      <w:r>
        <w:rPr>
          <w:sz w:val="22"/>
          <w:szCs w:val="22"/>
        </w:rPr>
        <w:t xml:space="preserve">The BTC result (-15% OOS) versus ETH (+20% OOS) is telling. BTC attracts much more institutional participation in the funding market; its funding extremes are more likely to persist because institutional momentum traders can hold for longer. ETH and SOL are better candidates for this strategy.</w:t>
      </w:r>
    </w:p>
    <w:p>
      <w:pPr>
        <w:pStyle w:val="Heading2"/>
        <w:spacing w:before="280" w:after="120"/>
      </w:pPr>
      <w:r>
        <w:rPr>
          <w:b/>
          <w:bCs/>
          <w:color w:val="2563EB"/>
          <w:sz w:val="28"/>
          <w:szCs w:val="28"/>
        </w:rPr>
        <w:t xml:space="preserve">2.3 Strategy 3 (Token Unlocks) — Add Narrative Scoring</w:t>
      </w:r>
    </w:p>
    <w:p>
      <w:pPr>
        <w:spacing w:before="80" w:after="120"/>
      </w:pPr>
      <w:r>
        <w:t xml:space="preserve">The APT failure is the most instructive result in the entire project. APT failed not because the supply mechanic did not fire, but because the narrative was 'new ecosystem, buy anything' at the time. You shorted into a narrative-driven FOMO rally. The fix is a simple narrative momentum filter:</w:t>
      </w:r>
    </w:p>
    <w:p>
      <w:pPr>
        <w:pStyle w:val="ListParagraph"/>
        <w:numPr>
          <w:ilvl w:val="0"/>
          <w:numId w:val="2"/>
        </w:numPr>
        <w:spacing w:before="60" w:after="60"/>
      </w:pPr>
      <w:r>
        <w:rPr>
          <w:sz w:val="22"/>
          <w:szCs w:val="22"/>
        </w:rPr>
        <w:t xml:space="preserve">Do not short if 30-day momentum &gt; +50% (the token has already run hard; narrative is in control)</w:t>
      </w:r>
    </w:p>
    <w:p>
      <w:pPr>
        <w:pStyle w:val="ListParagraph"/>
        <w:numPr>
          <w:ilvl w:val="0"/>
          <w:numId w:val="2"/>
        </w:numPr>
        <w:spacing w:before="60" w:after="60"/>
      </w:pPr>
      <w:r>
        <w:rPr>
          <w:sz w:val="22"/>
          <w:szCs w:val="22"/>
        </w:rPr>
        <w:t xml:space="preserve">Do not short if ADX &gt; 40 on the daily (strong directional trend overrides supply pressure)</w:t>
      </w:r>
    </w:p>
    <w:p>
      <w:pPr>
        <w:pStyle w:val="ListParagraph"/>
        <w:numPr>
          <w:ilvl w:val="0"/>
          <w:numId w:val="2"/>
        </w:numPr>
        <w:spacing w:before="60" w:after="60"/>
      </w:pPr>
      <w:r>
        <w:rPr>
          <w:sz w:val="22"/>
          <w:szCs w:val="22"/>
        </w:rPr>
        <w:t xml:space="preserve">Add a market-neutral leg: when shorting the token, go long ETH with equivalent notional. This isolates the 'unlock alpha' from broad crypto beta. Your OP +64.85% came partly from beta; a neutral position extracts the pure structural edge.</w:t>
      </w:r>
    </w:p>
    <w:p>
      <w:pPr>
        <w:pStyle w:val="Heading2"/>
        <w:spacing w:before="280" w:after="120"/>
      </w:pPr>
      <w:r>
        <w:rPr>
          <w:b/>
          <w:bCs/>
          <w:color w:val="2563EB"/>
          <w:sz w:val="28"/>
          <w:szCs w:val="28"/>
        </w:rPr>
        <w:t xml:space="preserve">2.4 Strategy 4 (Cascade Bounce) — Repurpose as a Filter, Not a Strategy</w:t>
      </w:r>
    </w:p>
    <w:p>
      <w:pPr>
        <w:spacing w:before="80" w:after="120"/>
      </w:pPr>
      <w:r>
        <w:t xml:space="preserve">Stop trying to trade this as a standalone strategy. You get 5-8 trades per year per asset; that is not enough to be statistically meaningful. But the cascade signal itself (RSI &lt; 30 + vol spike + funding flip) is valuable as a REGIME OVERRIDE for Strategy 2. When a cascade fires on BTC, the funding rate is already extreme by definition. Instead of entering a separate CascadeBounce trade, use the cascade signal to double the conviction weight on the concurrent Strategy 2 signal. This transforms a low-frequency standalone strategy into a high-value signal amplifier.</w:t>
      </w:r>
    </w:p>
    <w:p>
      <w:pPr>
        <w:pStyle w:val="Heading2"/>
        <w:spacing w:before="280" w:after="120"/>
      </w:pPr>
      <w:r>
        <w:rPr>
          <w:b/>
          <w:bCs/>
          <w:color w:val="2563EB"/>
          <w:sz w:val="28"/>
          <w:szCs w:val="28"/>
        </w:rPr>
        <w:t xml:space="preserve">2.5 Strategy 5 (Regime Grid) — Fix the HMM and Use it as Master Switch</w:t>
      </w:r>
    </w:p>
    <w:p>
      <w:pPr>
        <w:spacing w:before="80" w:after="120"/>
      </w:pPr>
      <w:r>
        <w:t xml:space="preserve">The HMM is doing real work, but it is unscaled. Two fixes: First, add StandardScaler to all four HMM features before fitting. This stops the log_ret feature from dominating over lower-variance features like trend_pos. Second, add close/SMA200 ratio as a 5th feature. This captures the macro trend position that the HMM currently misses. Third, and most critically: promote the HMM regime output to a portfolio-level master switch. Here is the protocol:</w:t>
      </w:r>
    </w:p>
    <w:p>
      <w:pPr>
        <w:pStyle w:val="ListParagraph"/>
        <w:numPr>
          <w:ilvl w:val="0"/>
          <w:numId w:val="2"/>
        </w:numPr>
        <w:spacing w:before="60" w:after="60"/>
      </w:pPr>
      <w:r>
        <w:rPr>
          <w:sz w:val="22"/>
          <w:szCs w:val="22"/>
        </w:rPr>
        <w:t xml:space="preserve">BULL regime: S1 active, S2 long-only, S3 shorts disabled, S5 grid inactive</w:t>
      </w:r>
    </w:p>
    <w:p>
      <w:pPr>
        <w:pStyle w:val="ListParagraph"/>
        <w:numPr>
          <w:ilvl w:val="0"/>
          <w:numId w:val="2"/>
        </w:numPr>
        <w:spacing w:before="60" w:after="60"/>
      </w:pPr>
      <w:r>
        <w:rPr>
          <w:sz w:val="22"/>
          <w:szCs w:val="22"/>
        </w:rPr>
        <w:t xml:space="preserve">SIDEWAYS regime: S1 waits for Friday, S2 both sides, S5 grid active, S3 active</w:t>
      </w:r>
    </w:p>
    <w:p>
      <w:pPr>
        <w:pStyle w:val="ListParagraph"/>
        <w:numPr>
          <w:ilvl w:val="0"/>
          <w:numId w:val="2"/>
        </w:numPr>
        <w:spacing w:before="60" w:after="60"/>
      </w:pPr>
      <w:r>
        <w:rPr>
          <w:sz w:val="22"/>
          <w:szCs w:val="22"/>
        </w:rPr>
        <w:t xml:space="preserve">BEAR regime: S1 disabled, S2 short-only, S3 short-only, S5 grid in cash-preservation mode</w:t>
      </w:r>
    </w:p>
    <w:p>
      <w:pPr>
        <w:pStyle w:val="ListParagraph"/>
        <w:numPr>
          <w:ilvl w:val="0"/>
          <w:numId w:val="2"/>
        </w:numPr>
        <w:spacing w:before="60" w:after="60"/>
      </w:pPr>
      <w:r>
        <w:rPr>
          <w:sz w:val="22"/>
          <w:szCs w:val="22"/>
        </w:rPr>
        <w:t xml:space="preserve">TRANSITION: Reduce all position sizes by 50% until regime stabilizes</w:t>
      </w:r>
    </w:p>
    <w:p>
      <w:r>
        <w:br w:type="page"/>
      </w:r>
    </w:p>
    <w:p>
      <w:pPr>
        <w:pStyle w:val="Heading1"/>
        <w:spacing w:before="360" w:after="160"/>
      </w:pPr>
      <w:r>
        <w:rPr>
          <w:b/>
          <w:bCs/>
          <w:color w:val="1E3A5F"/>
          <w:sz w:val="36"/>
          <w:szCs w:val="36"/>
        </w:rPr>
        <w:t xml:space="preserve">3. First-Principles Deep Research: The Real Sources of Edge</w:t>
      </w:r>
    </w:p>
    <w:p>
      <w:pPr>
        <w:spacing w:before="80" w:after="120"/>
      </w:pPr>
      <w:r>
        <w:t xml:space="preserve">Before proposing new strategies, it is worth spending time on a foundational question: why does any edge exist in crypto at all? Understanding the first principles here is what separates strategies that will persist from ones that are curve-fit to noise.</w:t>
      </w:r>
    </w:p>
    <w:p>
      <w:pPr>
        <w:pStyle w:val="Heading2"/>
        <w:spacing w:before="280" w:after="120"/>
      </w:pPr>
      <w:r>
        <w:rPr>
          <w:b/>
          <w:bCs/>
          <w:color w:val="2563EB"/>
          <w:sz w:val="28"/>
          <w:szCs w:val="28"/>
        </w:rPr>
        <w:t xml:space="preserve">3.1 Why Edges Exist in Crypto (The Structural Map)</w:t>
      </w:r>
    </w:p>
    <w:p>
      <w:pPr>
        <w:spacing w:before="80" w:after="120"/>
      </w:pPr>
      <w:r>
        <w:t xml:space="preserve">There are five structural reasons why crypto markets remain exploitable by systematic retail traders in 2026:</w:t>
      </w:r>
    </w:p>
    <w:p>
      <w:pPr>
        <w:pStyle w:val="ListParagraph"/>
        <w:numPr>
          <w:ilvl w:val="0"/>
          <w:numId w:val="3"/>
        </w:numPr>
        <w:spacing w:before="80" w:after="80"/>
      </w:pPr>
      <w:r>
        <w:rPr>
          <w:b/>
          <w:bCs/>
          <w:sz w:val="22"/>
          <w:szCs w:val="22"/>
        </w:rPr>
        <w:t xml:space="preserve">Retail-dominated participation patterns.</w:t>
      </w:r>
      <w:r>
        <w:rPr>
          <w:sz w:val="22"/>
          <w:szCs w:val="22"/>
        </w:rPr>
        <w:t xml:space="preserve"> Institutional ownership in spot BTC ETFs is only 28%, versus 58% in the S&amp;P 500. This means price formation is still heavily influenced by emotion-driven retail flow, especially on weekends and around narrative events.</w:t>
      </w:r>
    </w:p>
    <w:p>
      <w:pPr>
        <w:pStyle w:val="ListParagraph"/>
        <w:numPr>
          <w:ilvl w:val="0"/>
          <w:numId w:val="3"/>
        </w:numPr>
        <w:spacing w:before="80" w:after="80"/>
      </w:pPr>
      <w:r>
        <w:rPr>
          <w:b/>
          <w:bCs/>
          <w:sz w:val="22"/>
          <w:szCs w:val="22"/>
        </w:rPr>
        <w:t xml:space="preserve">Mechanical funding pressure.</w:t>
      </w:r>
      <w:r>
        <w:rPr>
          <w:sz w:val="22"/>
          <w:szCs w:val="22"/>
        </w:rPr>
        <w:t xml:space="preserve"> Perpetual futures funding rates are a unique crypto primitive that forces position unwinds on a schedule. This is not opinion-based price prediction — it is extracting value from a mechanical tax paid by one side of the market to the other.</w:t>
      </w:r>
    </w:p>
    <w:p>
      <w:pPr>
        <w:pStyle w:val="ListParagraph"/>
        <w:numPr>
          <w:ilvl w:val="0"/>
          <w:numId w:val="3"/>
        </w:numPr>
        <w:spacing w:before="80" w:after="80"/>
      </w:pPr>
      <w:r>
        <w:rPr>
          <w:b/>
          <w:bCs/>
          <w:sz w:val="22"/>
          <w:szCs w:val="22"/>
        </w:rPr>
        <w:t xml:space="preserve">Calendar-predictable supply events.</w:t>
      </w:r>
      <w:r>
        <w:rPr>
          <w:sz w:val="22"/>
          <w:szCs w:val="22"/>
        </w:rPr>
        <w:t xml:space="preserve"> Token vesting schedules are public, deterministic, and large. No equivalent exists in traditional markets. This creates forecastable supply shocks.</w:t>
      </w:r>
    </w:p>
    <w:p>
      <w:pPr>
        <w:pStyle w:val="ListParagraph"/>
        <w:numPr>
          <w:ilvl w:val="0"/>
          <w:numId w:val="3"/>
        </w:numPr>
        <w:spacing w:before="80" w:after="80"/>
      </w:pPr>
      <w:r>
        <w:rPr>
          <w:b/>
          <w:bCs/>
          <w:sz w:val="22"/>
          <w:szCs w:val="22"/>
        </w:rPr>
        <w:t xml:space="preserve">Cross-market fragmentation.</w:t>
      </w:r>
      <w:r>
        <w:rPr>
          <w:sz w:val="22"/>
          <w:szCs w:val="22"/>
        </w:rPr>
        <w:t xml:space="preserve"> Dozens of exchanges price the same assets with non-trivial latency gaps. Unlike equities with a consolidated tape, crypto has no NBBO. Structural spreads between venues persist for seconds to minutes.</w:t>
      </w:r>
    </w:p>
    <w:p>
      <w:pPr>
        <w:pStyle w:val="ListParagraph"/>
        <w:numPr>
          <w:ilvl w:val="0"/>
          <w:numId w:val="3"/>
        </w:numPr>
        <w:spacing w:before="80" w:after="80"/>
      </w:pPr>
      <w:r>
        <w:rPr>
          <w:b/>
          <w:bCs/>
          <w:sz w:val="22"/>
          <w:szCs w:val="22"/>
        </w:rPr>
        <w:t xml:space="preserve">Narrative cycle predictability.</w:t>
      </w:r>
      <w:r>
        <w:rPr>
          <w:sz w:val="22"/>
          <w:szCs w:val="22"/>
        </w:rPr>
        <w:t xml:space="preserve"> Crypto has identifiable bull/bear regimes driven by macro liquidity, Bitcoin halving cycles, and DeFi narrative rotations. These are not random; they follow identifiable patterns that pure price-action strategies like traditional TA cannot capture.</w:t>
      </w:r>
    </w:p>
    <w:p>
      <w:pPr>
        <w:pStyle w:val="Heading2"/>
        <w:spacing w:before="280" w:after="120"/>
      </w:pPr>
      <w:r>
        <w:rPr>
          <w:b/>
          <w:bCs/>
          <w:color w:val="2563EB"/>
          <w:sz w:val="28"/>
          <w:szCs w:val="28"/>
        </w:rPr>
        <w:t xml:space="preserve">3.2 The Fundamental Weakness of Your Current Portfolio</w:t>
      </w:r>
    </w:p>
    <w:p>
      <w:pPr>
        <w:spacing w:before="80" w:after="120"/>
      </w:pPr>
      <w:r>
        <w:t xml:space="preserve">All five of your current strategies share a common failure mode: they are either long-biased or regime-neutral. Strategies 1, 2, 3, and 4 all generate alpha predominantly in bull/neutral markets. Strategy 5 preserves capital but generates almost nothing in bear markets. You have no genuine bear-market alpha machine. This is a structural hole in the portfolio, not a parameter tuning issue.</w:t>
      </w:r>
    </w:p>
    <w:p>
      <w:r>
        <w:br w:type="page"/>
      </w:r>
    </w:p>
    <w:p>
      <w:pPr>
        <w:pStyle w:val="Heading1"/>
        <w:spacing w:before="360" w:after="160"/>
      </w:pPr>
      <w:r>
        <w:rPr>
          <w:b/>
          <w:bCs/>
          <w:color w:val="1E3A5F"/>
          <w:sz w:val="36"/>
          <w:szCs w:val="36"/>
        </w:rPr>
        <w:t xml:space="preserve">4. New Strategies: Radical Ideas from First Principles</w:t>
      </w:r>
    </w:p>
    <w:p>
      <w:pPr>
        <w:spacing w:before="80" w:after="120"/>
      </w:pPr>
      <w:r>
        <w:t xml:space="preserve">The following six strategies range from 'near-term buildable' to 'genuinely novel and largely unharvested.' They are organized by implementation complexity and edge confidence. Each is grounded in a structural market mechanic, not a technical pattern.</w:t>
      </w:r>
    </w:p>
    <w:p>
      <w:pPr>
        <w:pStyle w:val="Heading2"/>
        <w:spacing w:before="280" w:after="120"/>
      </w:pPr>
      <w:r>
        <w:rPr>
          <w:b/>
          <w:bCs/>
          <w:color w:val="2563EB"/>
          <w:sz w:val="28"/>
          <w:szCs w:val="28"/>
        </w:rPr>
        <w:t xml:space="preserve">Strategy 6: Spot-Perp Basis Harvesting (Delta-Neutral Funding Carry)</w:t>
      </w:r>
    </w:p>
    <w:p>
      <w:pPr>
        <w:spacing w:before="80" w:after="120"/>
      </w:pPr>
      <w:r>
        <w:t xml:space="preserve">HYPOTHESIS: The perpetual futures market is structurally long-biased because retail traders overwhelmingly want leveraged long exposure. This means longs pay shorts via the funding rate the majority of the time. By holding spot long + perp short (or vice versa when negative), you can harvest this yield with near-zero directional exposure.</w:t>
      </w:r>
    </w:p>
    <w:p>
      <w:pPr>
        <w:spacing w:before="80" w:after="120"/>
      </w:pPr>
      <w:r>
        <w:t xml:space="preserve">HOW IT IS DIFFERENT FROM S2: Strategy 2 bets on price reversion after extreme funding. This strategy collects funding continuously and only exits when the basis inverts for a sustained period. It is a yield strategy, not a price strategy.</w:t>
      </w:r>
    </w:p>
    <w:p>
      <w:pPr>
        <w:spacing w:before="80" w:after="120"/>
      </w:pPr>
      <w:r>
        <w:t xml:space="preserve">THE EDGE SOURCE: The CME derivatives report confirms that basis trading generated 15-20% APY with &lt;2% drawdown for institutional players. SOL and XRP futures spiked to 50% annualized basis in July 2025. Your scale (~$1K) means you can access the most extreme basis opportunities on smaller assets where institutions do not bother.</w:t>
      </w:r>
    </w:p>
    <w:p>
      <w:pPr>
        <w:spacing w:before="80" w:after="120"/>
      </w:pPr>
      <w:r>
        <w:t xml:space="preserve">IMPLEMENTATION: Buy spot BTC/ETH on Binance. Simultaneously short the perpetual at the same notional (1x, no leverage). Every 8 hours, collect the funding payment (when positive). Exit if funding goes persistently negative for &gt;3 consecutive periods. This requires no directional view and generates passive income regardless of price direction.</w:t>
      </w:r>
    </w:p>
    <w:p>
      <w:pPr>
        <w:spacing w:before="80" w:after="120"/>
      </w:pPr>
      <w:r>
        <w:t xml:space="preserve">THE REAL RISK: Exchange counterparty risk (FTX showed us this is not theoretical). Use only regulated exchanges. Split capital across two exchanges max. Monitor the basis spread daily; if it inverts for &gt;24 hours, close and wait.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Parameter</w:t>
            </w:r>
          </w:p>
        </w:tc>
        <w:tc>
          <w:tcPr>
            <w:tcW w:type="dxa" w:w="62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Value</w:t>
            </w:r>
          </w:p>
        </w:tc>
      </w:tr>
      <w:tr>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Target APY</w:t>
            </w:r>
          </w:p>
        </w:tc>
        <w:tc>
          <w:tcPr>
            <w:tcW w:type="dxa" w:w="62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15–40% depending on market regime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Max Drawdown (expected)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&lt;3% (from basis inversion, not price)</w:t>
            </w:r>
          </w:p>
        </w:tc>
      </w:tr>
      <w:tr>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Sharpe (academic estimate)</w:t>
            </w:r>
          </w:p>
        </w:tc>
        <w:tc>
          <w:tcPr>
            <w:tcW w:type="dxa" w:w="62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3.0–6.0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Min Capital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$500 per leg (so $1,000 total per pair)</w:t>
            </w:r>
          </w:p>
        </w:tc>
      </w:tr>
      <w:tr>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Data needed</w:t>
            </w:r>
          </w:p>
        </w:tc>
        <w:tc>
          <w:tcPr>
            <w:tcW w:type="dxa" w:w="62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Spot price + perp funding rate (already have this)</w:t>
            </w:r>
          </w:p>
        </w:tc>
      </w:tr>
    </w:tbl>
    <w:p>
      <w:pPr>
        <w:spacing w:before="80"/>
      </w:pPr>
      <w:r>
        <w:t xml:space="preserve"/>
      </w:r>
    </w:p>
    <w:p>
      <w:pPr>
        <w:pStyle w:val="Heading2"/>
        <w:spacing w:before="280" w:after="120"/>
      </w:pPr>
      <w:r>
        <w:rPr>
          <w:b/>
          <w:bCs/>
          <w:color w:val="2563EB"/>
          <w:sz w:val="28"/>
          <w:szCs w:val="28"/>
        </w:rPr>
        <w:t xml:space="preserve">Strategy 7: Volatility Regime Rotation (The Missing Bear Alpha)</w:t>
      </w:r>
    </w:p>
    <w:p>
      <w:pPr>
        <w:spacing w:before="80" w:after="120"/>
      </w:pPr>
      <w:r>
        <w:t xml:space="preserve">HYPOTHESIS: In high-volatility bear regimes, implied volatility (IV) on crypto options is systematically overpriced relative to realized volatility (RV). Selling volatility (short straddles/strangles on Deribit) during these periods generates consistent premium income while the market chops sideways with declining direction.</w:t>
      </w:r>
    </w:p>
    <w:p>
      <w:pPr>
        <w:spacing w:before="80" w:after="120"/>
      </w:pPr>
      <w:r>
        <w:t xml:space="preserve">THE FIRST-PRINCIPLES ARGUMENT: Options buyers in crypto are predominantly retail traders seeking lottery-ticket upside or panic-driven downside protection. This structural demand systematically inflates IV above RV. Academic research confirms IV/RV ratios in crypto options average 1.3–1.5x (vs. 1.1–1.2x in equities), meaning you are selling insurance that is overpriced 30–50% on average.</w:t>
      </w:r>
    </w:p>
    <w:p>
      <w:pPr>
        <w:spacing w:before="80" w:after="120"/>
      </w:pPr>
      <w:r>
        <w:t xml:space="preserve">HOW THIS FILLS YOUR PORTFOLIO GAP: In bear markets, your current portfolio either goes to cash (S5) or takes small losses (S1 off, S2 struggling). This strategy generates positive expected value precisely during the high-IV, low-directional-trend periods that are your current portfolio's weakest point.</w:t>
      </w:r>
    </w:p>
    <w:p>
      <w:pPr>
        <w:spacing w:before="80" w:after="120"/>
      </w:pPr>
      <w:r>
        <w:t xml:space="preserve">IMPLEMENTATION APPROACH (simplified for small capital): Use Deribit delta-neutral short straddles. Sell 1-week ATM calls + puts. Hedge delta with perpetuals every 2 hours or when delta &gt; 0.1. Close when IV drops 20% from entry OR at 80% max profit (3 DTE remaining). Risk: max 5% of capital per position.</w:t>
      </w:r>
    </w:p>
    <w:p>
      <w:pPr>
        <w:spacing w:before="80" w:after="120"/>
      </w:pPr>
      <w:r>
        <w:t xml:space="preserve">THE CRITICAL RISK: Short gamma in a trending market is catastrophic. DO NOT sell volatility during the first 48 hours after a major macro shock (rate decision, geopolitical event). The regime detector from S5 is your guard: only execute this strategy in BEAR or SIDEWAYS regimes, never in BULL.</w:t>
      </w:r>
    </w:p>
    <w:p>
      <w:pPr>
        <w:pStyle w:val="Heading2"/>
        <w:spacing w:before="280" w:after="120"/>
      </w:pPr>
      <w:r>
        <w:rPr>
          <w:b/>
          <w:bCs/>
          <w:color w:val="2563EB"/>
          <w:sz w:val="28"/>
          <w:szCs w:val="28"/>
        </w:rPr>
        <w:t xml:space="preserve">Strategy 8: On-Chain Whale Accumulation Tracker</w:t>
      </w:r>
    </w:p>
    <w:p>
      <w:pPr>
        <w:spacing w:before="80" w:after="120"/>
      </w:pPr>
      <w:r>
        <w:t xml:space="preserve">HYPOTHESIS: Large wallet accumulation (wallets holding &gt;1,000 BTC adding positions over 7-day windows) precedes price appreciation by 2-14 days. This signal predates most technical indicators because it captures informed positioning before price reaction.</w:t>
      </w:r>
    </w:p>
    <w:p>
      <w:pPr>
        <w:spacing w:before="80" w:after="120"/>
      </w:pPr>
      <w:r>
        <w:t xml:space="preserve">THE EDGE SOURCE: This is not a new idea, but the implementation is almost always done wrong by retail traders. The key insight is that you want to track NET change in whale wallet counts, not total whale holdings. When the number of wallets holding 1,000+ BTC increases by &gt;2% in 7 days, that is new large investors entering, not existing holders redistributing. This is statistically different from pure holding-size changes.</w:t>
      </w:r>
    </w:p>
    <w:p>
      <w:pPr>
        <w:spacing w:before="80" w:after="120"/>
      </w:pPr>
      <w:r>
        <w:t xml:space="preserve">WHAT MAKES THIS RADICAL: Combine this signal with the funding rate from S2. When whale accumulation is rising AND funding is extremely negative (shorts crowded), you have two independent signals pointing the same direction from completely different data sources. This multi-signal confirmation dramatically reduces false positives.</w:t>
      </w:r>
    </w:p>
    <w:p>
      <w:pPr>
        <w:spacing w:before="80" w:after="120"/>
      </w:pPr>
      <w:r>
        <w:t xml:space="preserve">DATA SOURCE: Glassnode API (free tier covers historical data), IntoTheBlock on-chain signals, Nansen wallet labeling. The raw data is public; the edge comes from the combination logic, not the data itself.</w:t>
      </w:r>
    </w:p>
    <w:p>
      <w:pPr>
        <w:pStyle w:val="Heading2"/>
        <w:spacing w:before="280" w:after="120"/>
      </w:pPr>
      <w:r>
        <w:rPr>
          <w:b/>
          <w:bCs/>
          <w:color w:val="2563EB"/>
          <w:sz w:val="28"/>
          <w:szCs w:val="28"/>
        </w:rPr>
        <w:t xml:space="preserve">Strategy 9: Funding Rate Carry Across Multiple Assets (Cross-Asset Funding Arb)</w:t>
      </w:r>
    </w:p>
    <w:p>
      <w:pPr>
        <w:spacing w:before="80" w:after="120"/>
      </w:pPr>
      <w:r>
        <w:t xml:space="preserve">HYPOTHESIS: Funding rates across assets are not perfectly correlated. On a given day, BTC may have neutral funding (+0.01%) while SOL has extreme positive funding (+0.08%). By dynamically rotating the basis harvesting position to whichever asset has the highest risk-adjusted funding rate, you amplify S6's yield without increasing capital deployed.</w:t>
      </w:r>
    </w:p>
    <w:p>
      <w:pPr>
        <w:spacing w:before="80" w:after="120"/>
      </w:pPr>
      <w:r>
        <w:t xml:space="preserve">THE INSIGHT: Most implementations of funding arbitrage are single-asset. But the opportunity set is a multi-dimensional surface. At any given moment, one of {BTC, ETH, SOL, AVAX, APT, SUI} will have anomalously high funding relative to its historical distribution. A Z-score ranking across all six assets, updated every 8 hours, gives you an automatic rotation signal.</w:t>
      </w:r>
    </w:p>
    <w:p>
      <w:pPr>
        <w:spacing w:before="80" w:after="120"/>
      </w:pPr>
      <w:r>
        <w:t xml:space="preserve">IMPLEMENTATION: Maintain a funding rate database for 10-15 assets. Every 8 hours, compute Z-score of current funding vs. 30-day rolling mean for each asset. Enter basis position (spot long + perp short) in whichever asset has the highest Z-score above threshold. Exit when Z-score drops below 0.5. This is a systematic carry rotation, not a momentum strategy.</w:t>
      </w:r>
    </w:p>
    <w:p>
      <w:pPr>
        <w:spacing w:before="80" w:after="120"/>
      </w:pPr>
      <w:r>
        <w:t xml:space="preserve">EXPECTED IMPROVEMENT OVER S6: Theoretical yield improvement of 30-50% through rotation into higher-yield assets, with only marginally higher execution cost (one trade per 8-hour window).</w:t>
      </w:r>
    </w:p>
    <w:p>
      <w:pPr>
        <w:pStyle w:val="Heading2"/>
        <w:spacing w:before="280" w:after="120"/>
      </w:pPr>
      <w:r>
        <w:rPr>
          <w:b/>
          <w:bCs/>
          <w:color w:val="2563EB"/>
          <w:sz w:val="28"/>
          <w:szCs w:val="28"/>
        </w:rPr>
        <w:t xml:space="preserve">Strategy 10: Pre-Halving Accumulation Pattern</w:t>
      </w:r>
    </w:p>
    <w:p>
      <w:pPr>
        <w:spacing w:before="80" w:after="120"/>
      </w:pPr>
      <w:r>
        <w:t xml:space="preserve">HYPOTHESIS: Bitcoin's supply halving creates a 12-18 month pre-halving accumulation window where long-term holders systematically reduce selling. The next halving is April 2028. The current accumulation window starts now (February 2026) and extends through approximately Q1 2027.</w:t>
      </w:r>
    </w:p>
    <w:p>
      <w:pPr>
        <w:spacing w:before="80" w:after="120"/>
      </w:pPr>
      <w:r>
        <w:t xml:space="preserve">THE FIRST-PRINCIPLES ARGUMENT: Miners face a known future revenue cut of 50%. Rational miners with long time horizons reduce sell pressure in anticipation, holding coins they would otherwise sell to fund operations. Meanwhile, narrative investors begin positioning 12-18 months early based on past halving cycles. The combination of reduced supply + increased demand creates a structural upward drift in the pre-halving window.</w:t>
      </w:r>
    </w:p>
    <w:p>
      <w:pPr>
        <w:spacing w:before="80" w:after="120"/>
      </w:pPr>
      <w:r>
        <w:t xml:space="preserve">HOW TO OPERATIONALIZE: This is not a trading strategy in the traditional sense; it is a regime overlay. When the HMM regime is BULL and the halving window is active (&gt;12 months before halving), increase S1 position size by 1.5x and lower the trend filter threshold from EMA50 &gt; EMA200 to just EMA20 &gt; EMA50. When less than 6 months before halving AND price is in a clear uptrend, allow S1 to take positions even on weekdays.</w:t>
      </w:r>
    </w:p>
    <w:p>
      <w:pPr>
        <w:pStyle w:val="Heading2"/>
        <w:spacing w:before="280" w:after="120"/>
      </w:pPr>
      <w:r>
        <w:rPr>
          <w:b/>
          <w:bCs/>
          <w:color w:val="2563EB"/>
          <w:sz w:val="28"/>
          <w:szCs w:val="28"/>
        </w:rPr>
        <w:t xml:space="preserve">Strategy 11 (RADICAL): Narrative Momentum + Technical Composite Signal</w:t>
      </w:r>
    </w:p>
    <w:p>
      <w:pPr>
        <w:spacing w:before="80" w:after="120"/>
      </w:pPr>
      <w:r>
        <w:t xml:space="preserve">HYPOTHESIS: Crypto price moves are narrative-driven at the macro level and microstructure-driven at the micro level. A strategy that combines (a) narrative momentum signals from social/developer activity with (b) technical entry precision from order flow imbalance can achieve Sharpe ratios north of 2.0 with low sample size requirements.</w:t>
      </w:r>
    </w:p>
    <w:p>
      <w:pPr>
        <w:spacing w:before="80" w:after="120"/>
      </w:pPr>
      <w:r>
        <w:t xml:space="preserve">THE GENUINELY NEW INSIGHT: Academic research published in late 2025 (Parente &amp; Rizzuti, Springer; multiple arXiv papers on LOB microstructure) confirms two things independently: (1) GitHub commit activity for a project 3-7 days before a major release is statistically predictive of price reaction; (2) order book imbalance (OBI) computed at 1-second resolution has persistent directional signal for 30-60 second windows. Nobody is combining these two signals.</w:t>
      </w:r>
    </w:p>
    <w:p>
      <w:pPr>
        <w:spacing w:before="80" w:after="120"/>
      </w:pPr>
      <w:r>
        <w:t xml:space="preserve">THE IMPLEMENTATION IDEA: Build a narrative score by tracking: GitHub commit velocity for the top 10 protocols, developer wallet activity (Nansen labels), and social mention rate of change (not sentiment, just acceleration of mentions). When narrative score is rising AND current OBI on the 1m chart is positive (bid volume &gt; ask volume), enter long with tight ATR stop. Exit on OBI reversal or narrative score decline.</w:t>
      </w:r>
    </w:p>
    <w:p>
      <w:pPr>
        <w:spacing w:before="80" w:after="120"/>
      </w:pPr>
      <w:r>
        <w:t xml:space="preserve">WHY THIS IS HARD AND WORTH IT: This is a cross-domain signal that no off-the-shelf tool provides. It requires engineering a multi-source data pipeline. But because of the implementation complexity, it is not being harvested by most participants. The competitive moat is in the integration, not the individual signals.</w:t>
      </w:r>
    </w:p>
    <w:p>
      <w:pPr>
        <w:spacing w:before="80" w:after="120"/>
      </w:pPr>
      <w:r>
        <w:t xml:space="preserve">Complexity note: Strategies 6 and 9 are buildable in 2-3 weeks with your existing infrastructure. Strategy 8 requires new data sources but no new code patterns. Strategies 7, 10, and 11 are medium to long-term research projects.</w:t>
      </w:r>
    </w:p>
    <w:p>
      <w:r>
        <w:br w:type="page"/>
      </w:r>
    </w:p>
    <w:p>
      <w:pPr>
        <w:pStyle w:val="Heading1"/>
        <w:spacing w:before="360" w:after="160"/>
      </w:pPr>
      <w:r>
        <w:rPr>
          <w:b/>
          <w:bCs/>
          <w:color w:val="1E3A5F"/>
          <w:sz w:val="36"/>
          <w:szCs w:val="36"/>
        </w:rPr>
        <w:t xml:space="preserve">5. Specific Next Steps: Priority-Ordered Action Plan</w:t>
      </w:r>
    </w:p>
    <w:p>
      <w:pPr>
        <w:pStyle w:val="Heading2"/>
        <w:spacing w:before="280" w:after="120"/>
      </w:pPr>
      <w:r>
        <w:rPr>
          <w:b/>
          <w:bCs/>
          <w:color w:val="2563EB"/>
          <w:sz w:val="28"/>
          <w:szCs w:val="28"/>
        </w:rPr>
        <w:t xml:space="preserve">Phase 1 (This Week): Fix Critical Gaps Before Any Live Deployment</w:t>
      </w:r>
    </w:p>
    <w:p>
      <w:pPr>
        <w:pStyle w:val="ListParagraph"/>
        <w:numPr>
          <w:ilvl w:val="0"/>
          <w:numId w:val="2"/>
        </w:numPr>
        <w:spacing w:before="60" w:after="60"/>
      </w:pPr>
      <w:r>
        <w:rPr>
          <w:b/>
          <w:bCs/>
          <w:sz w:val="22"/>
          <w:szCs w:val="22"/>
        </w:rPr>
        <w:t xml:space="preserve">Action: </w:t>
      </w:r>
      <w:r>
        <w:rPr>
          <w:sz w:val="22"/>
          <w:szCs w:val="22"/>
        </w:rPr>
        <w:t xml:space="preserve">Implement regime-based portfolio master switch in risk_manager.py</w:t>
      </w:r>
    </w:p>
    <w:p>
      <w:pPr>
        <w:pStyle w:val="ListParagraph"/>
        <w:numPr>
          <w:ilvl w:val="0"/>
          <w:numId w:val="2"/>
        </w:numPr>
        <w:spacing w:before="60" w:after="60"/>
      </w:pPr>
      <w:r>
        <w:rPr>
          <w:b/>
          <w:bCs/>
          <w:sz w:val="22"/>
          <w:szCs w:val="22"/>
        </w:rPr>
        <w:t xml:space="preserve">Action: </w:t>
      </w:r>
      <w:r>
        <w:rPr>
          <w:sz w:val="22"/>
          <w:szCs w:val="22"/>
        </w:rPr>
        <w:t xml:space="preserve">Tighten S1 stop from 5% to 3% and re-run WFA on BTC + ETH + SOL</w:t>
      </w:r>
    </w:p>
    <w:p>
      <w:pPr>
        <w:pStyle w:val="ListParagraph"/>
        <w:numPr>
          <w:ilvl w:val="0"/>
          <w:numId w:val="2"/>
        </w:numPr>
        <w:spacing w:before="60" w:after="60"/>
      </w:pPr>
      <w:r>
        <w:rPr>
          <w:b/>
          <w:bCs/>
          <w:sz w:val="22"/>
          <w:szCs w:val="22"/>
        </w:rPr>
        <w:t xml:space="preserve">Action: </w:t>
      </w:r>
      <w:r>
        <w:rPr>
          <w:sz w:val="22"/>
          <w:szCs w:val="22"/>
        </w:rPr>
        <w:t xml:space="preserve">Add StandardScaler + close/SMA200 feature to HMM regime detector</w:t>
      </w:r>
    </w:p>
    <w:p>
      <w:pPr>
        <w:pStyle w:val="ListParagraph"/>
        <w:numPr>
          <w:ilvl w:val="0"/>
          <w:numId w:val="2"/>
        </w:numPr>
        <w:spacing w:before="60" w:after="60"/>
      </w:pPr>
      <w:r>
        <w:rPr>
          <w:b/>
          <w:bCs/>
          <w:sz w:val="22"/>
          <w:szCs w:val="22"/>
        </w:rPr>
        <w:t xml:space="preserve">Action: </w:t>
      </w:r>
      <w:r>
        <w:rPr>
          <w:sz w:val="22"/>
          <w:szCs w:val="22"/>
        </w:rPr>
        <w:t xml:space="preserve">Run correlation matrix on DAILY strategy returns (not just correlation of trades)</w:t>
      </w:r>
    </w:p>
    <w:p>
      <w:pPr>
        <w:pStyle w:val="Heading2"/>
        <w:spacing w:before="280" w:after="120"/>
      </w:pPr>
      <w:r>
        <w:rPr>
          <w:b/>
          <w:bCs/>
          <w:color w:val="2563EB"/>
          <w:sz w:val="28"/>
          <w:szCs w:val="28"/>
        </w:rPr>
        <w:t xml:space="preserve">Phase 2 (Weeks 2-3): Build Strategy 6 (Basis Harvesting)</w:t>
      </w:r>
    </w:p>
    <w:p>
      <w:pPr>
        <w:pStyle w:val="ListParagraph"/>
        <w:numPr>
          <w:ilvl w:val="0"/>
          <w:numId w:val="2"/>
        </w:numPr>
        <w:spacing w:before="60" w:after="60"/>
      </w:pPr>
      <w:r>
        <w:rPr>
          <w:sz w:val="22"/>
          <w:szCs w:val="22"/>
        </w:rPr>
        <w:t xml:space="preserve">Extend data_collector.py to track spot-perp premium (not just funding rate) for BTC, ETH, SOL</w:t>
      </w:r>
    </w:p>
    <w:p>
      <w:pPr>
        <w:pStyle w:val="ListParagraph"/>
        <w:numPr>
          <w:ilvl w:val="0"/>
          <w:numId w:val="2"/>
        </w:numPr>
        <w:spacing w:before="60" w:after="60"/>
      </w:pPr>
      <w:r>
        <w:rPr>
          <w:sz w:val="22"/>
          <w:szCs w:val="22"/>
        </w:rPr>
        <w:t xml:space="preserve">Write backtest_strategy_6.py: long spot, short perp, collect 8-hour funding payments</w:t>
      </w:r>
    </w:p>
    <w:p>
      <w:pPr>
        <w:pStyle w:val="ListParagraph"/>
        <w:numPr>
          <w:ilvl w:val="0"/>
          <w:numId w:val="2"/>
        </w:numPr>
        <w:spacing w:before="60" w:after="60"/>
      </w:pPr>
      <w:r>
        <w:rPr>
          <w:sz w:val="22"/>
          <w:szCs w:val="22"/>
        </w:rPr>
        <w:t xml:space="preserve">Add basis inversion detection: exit when 3 consecutive negative funding periods occur</w:t>
      </w:r>
    </w:p>
    <w:p>
      <w:pPr>
        <w:pStyle w:val="ListParagraph"/>
        <w:numPr>
          <w:ilvl w:val="0"/>
          <w:numId w:val="2"/>
        </w:numPr>
        <w:spacing w:before="60" w:after="60"/>
      </w:pPr>
      <w:r>
        <w:rPr>
          <w:sz w:val="22"/>
          <w:szCs w:val="22"/>
        </w:rPr>
        <w:t xml:space="preserve">Target: 30%+ simulated APY, &lt;5% drawdown, Sharpe &gt; 2.0</w:t>
      </w:r>
    </w:p>
    <w:p>
      <w:pPr>
        <w:pStyle w:val="Heading2"/>
        <w:spacing w:before="280" w:after="120"/>
      </w:pPr>
      <w:r>
        <w:rPr>
          <w:b/>
          <w:bCs/>
          <w:color w:val="2563EB"/>
          <w:sz w:val="28"/>
          <w:szCs w:val="28"/>
        </w:rPr>
        <w:t xml:space="preserve">Phase 3 (Weeks 4-6): Build Strategy 9 (Cross-Asset Funding Rotation)</w:t>
      </w:r>
    </w:p>
    <w:p>
      <w:pPr>
        <w:pStyle w:val="ListParagraph"/>
        <w:numPr>
          <w:ilvl w:val="0"/>
          <w:numId w:val="2"/>
        </w:numPr>
        <w:spacing w:before="60" w:after="60"/>
      </w:pPr>
      <w:r>
        <w:rPr>
          <w:sz w:val="22"/>
          <w:szCs w:val="22"/>
        </w:rPr>
        <w:t xml:space="preserve">Expand funding rate collection to 10 assets: BTC, ETH, SOL, AVAX, APT, SUI, OP, ARB, TIA, BNB</w:t>
      </w:r>
    </w:p>
    <w:p>
      <w:pPr>
        <w:pStyle w:val="ListParagraph"/>
        <w:numPr>
          <w:ilvl w:val="0"/>
          <w:numId w:val="2"/>
        </w:numPr>
        <w:spacing w:before="60" w:after="60"/>
      </w:pPr>
      <w:r>
        <w:rPr>
          <w:sz w:val="22"/>
          <w:szCs w:val="22"/>
        </w:rPr>
        <w:t xml:space="preserve">Implement Z-score ranking engine (rolling 30-day window per asset)</w:t>
      </w:r>
    </w:p>
    <w:p>
      <w:pPr>
        <w:pStyle w:val="ListParagraph"/>
        <w:numPr>
          <w:ilvl w:val="0"/>
          <w:numId w:val="2"/>
        </w:numPr>
        <w:spacing w:before="60" w:after="60"/>
      </w:pPr>
      <w:r>
        <w:rPr>
          <w:sz w:val="22"/>
          <w:szCs w:val="22"/>
        </w:rPr>
        <w:t xml:space="preserve">Write rotation logic: enter highest Z-score asset every 8 hours, exit below threshold</w:t>
      </w:r>
    </w:p>
    <w:p>
      <w:pPr>
        <w:pStyle w:val="ListParagraph"/>
        <w:numPr>
          <w:ilvl w:val="0"/>
          <w:numId w:val="2"/>
        </w:numPr>
        <w:spacing w:before="60" w:after="60"/>
      </w:pPr>
      <w:r>
        <w:rPr>
          <w:sz w:val="22"/>
          <w:szCs w:val="22"/>
        </w:rPr>
        <w:t xml:space="preserve">Backtest over 2-year period; measure yield improvement over single-asset S6</w:t>
      </w:r>
    </w:p>
    <w:p>
      <w:pPr>
        <w:pStyle w:val="Heading2"/>
        <w:spacing w:before="280" w:after="120"/>
      </w:pPr>
      <w:r>
        <w:rPr>
          <w:b/>
          <w:bCs/>
          <w:color w:val="2563EB"/>
          <w:sz w:val="28"/>
          <w:szCs w:val="28"/>
        </w:rPr>
        <w:t xml:space="preserve">Phase 4 (Weeks 7-10): Sample Size Fix for S1</w:t>
      </w:r>
    </w:p>
    <w:p>
      <w:pPr>
        <w:pStyle w:val="ListParagraph"/>
        <w:numPr>
          <w:ilvl w:val="0"/>
          <w:numId w:val="2"/>
        </w:numPr>
        <w:spacing w:before="60" w:after="60"/>
      </w:pPr>
      <w:r>
        <w:rPr>
          <w:sz w:val="22"/>
          <w:szCs w:val="22"/>
        </w:rPr>
        <w:t xml:space="preserve">Run S1 WFA on BTC + ETH + SOL simultaneously, pool all OOS trades</w:t>
      </w:r>
    </w:p>
    <w:p>
      <w:pPr>
        <w:pStyle w:val="ListParagraph"/>
        <w:numPr>
          <w:ilvl w:val="0"/>
          <w:numId w:val="2"/>
        </w:numPr>
        <w:spacing w:before="60" w:after="60"/>
      </w:pPr>
      <w:r>
        <w:rPr>
          <w:sz w:val="22"/>
          <w:szCs w:val="22"/>
        </w:rPr>
        <w:t xml:space="preserve">Target: 60+ pooled OOS trades for statistical significance</w:t>
      </w:r>
    </w:p>
    <w:p>
      <w:pPr>
        <w:pStyle w:val="ListParagraph"/>
        <w:numPr>
          <w:ilvl w:val="0"/>
          <w:numId w:val="2"/>
        </w:numPr>
        <w:spacing w:before="60" w:after="60"/>
      </w:pPr>
      <w:r>
        <w:rPr>
          <w:sz w:val="22"/>
          <w:szCs w:val="22"/>
        </w:rPr>
        <w:t xml:space="preserve">Only proceed to live deployment of S1 after 50+ OOS trades with Sharpe &gt; 1.0</w:t>
      </w:r>
    </w:p>
    <w:p>
      <w:pPr>
        <w:pStyle w:val="Heading2"/>
        <w:spacing w:before="280" w:after="120"/>
      </w:pPr>
      <w:r>
        <w:rPr>
          <w:b/>
          <w:bCs/>
          <w:color w:val="2563EB"/>
          <w:sz w:val="28"/>
          <w:szCs w:val="28"/>
        </w:rPr>
        <w:t xml:space="preserve">Phase 5 (Month 3+): Paper Trading Portfolio</w:t>
      </w:r>
    </w:p>
    <w:p>
      <w:pPr>
        <w:pStyle w:val="ListParagraph"/>
        <w:numPr>
          <w:ilvl w:val="0"/>
          <w:numId w:val="2"/>
        </w:numPr>
        <w:spacing w:before="60" w:after="60"/>
      </w:pPr>
      <w:r>
        <w:rPr>
          <w:sz w:val="22"/>
          <w:szCs w:val="22"/>
        </w:rPr>
        <w:t xml:space="preserve">Deploy S1 + S6 as the core live paper trading portfolio (complementary: directional + neutral)</w:t>
      </w:r>
    </w:p>
    <w:p>
      <w:pPr>
        <w:pStyle w:val="ListParagraph"/>
        <w:numPr>
          <w:ilvl w:val="0"/>
          <w:numId w:val="2"/>
        </w:numPr>
        <w:spacing w:before="60" w:after="60"/>
      </w:pPr>
      <w:r>
        <w:rPr>
          <w:sz w:val="22"/>
          <w:szCs w:val="22"/>
        </w:rPr>
        <w:t xml:space="preserve">S6 provides baseline yield; S1 provides bull-market upside</w:t>
      </w:r>
    </w:p>
    <w:p>
      <w:pPr>
        <w:pStyle w:val="ListParagraph"/>
        <w:numPr>
          <w:ilvl w:val="0"/>
          <w:numId w:val="2"/>
        </w:numPr>
        <w:spacing w:before="60" w:after="60"/>
      </w:pPr>
      <w:r>
        <w:rPr>
          <w:sz w:val="22"/>
          <w:szCs w:val="22"/>
        </w:rPr>
        <w:t xml:space="preserve">Add S9 (rotation) once S6 is validated in paper trading</w:t>
      </w:r>
    </w:p>
    <w:p>
      <w:pPr>
        <w:pStyle w:val="ListParagraph"/>
        <w:numPr>
          <w:ilvl w:val="0"/>
          <w:numId w:val="2"/>
        </w:numPr>
        <w:spacing w:before="60" w:after="60"/>
      </w:pPr>
      <w:r>
        <w:rPr>
          <w:sz w:val="22"/>
          <w:szCs w:val="22"/>
        </w:rPr>
        <w:t xml:space="preserve">Run paper trading for minimum 90 days before any real capital</w:t>
      </w:r>
    </w:p>
    <w:p>
      <w:r>
        <w:br w:type="page"/>
      </w:r>
    </w:p>
    <w:p>
      <w:pPr>
        <w:pStyle w:val="Heading1"/>
        <w:spacing w:before="360" w:after="160"/>
      </w:pPr>
      <w:r>
        <w:rPr>
          <w:b/>
          <w:bCs/>
          <w:color w:val="1E3A5F"/>
          <w:sz w:val="36"/>
          <w:szCs w:val="36"/>
        </w:rPr>
        <w:t xml:space="preserve">6. The Most Important Mental Model: Edge Taxonomy</w:t>
      </w:r>
    </w:p>
    <w:p>
      <w:pPr>
        <w:spacing w:before="80" w:after="120"/>
      </w:pPr>
      <w:r>
        <w:t xml:space="preserve">Before closing, here is a framework that will make every future strategy decision cleaner. Every edge in trading falls into one of four categories, and different categories decay at different rates: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520"/>
        <w:gridCol w:w="1440"/>
        <w:gridCol w:w="3300"/>
      </w:tblGrid>
      <w:tr>
        <w:tc>
          <w:tcPr>
            <w:tcW w:type="dxa" w:w="21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Edge Type</w:t>
            </w:r>
          </w:p>
        </w:tc>
        <w:tc>
          <w:tcPr>
            <w:tcW w:type="dxa" w:w="25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Example in Your Portfolio</w:t>
            </w:r>
          </w:p>
        </w:tc>
        <w:tc>
          <w:tcPr>
            <w:tcW w:type="dxa" w:w="14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Decay Rate</w:t>
            </w:r>
          </w:p>
        </w:tc>
        <w:tc>
          <w:tcPr>
            <w:tcW w:type="dxa" w:w="33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Why It Works</w:t>
            </w:r>
          </w:p>
        </w:tc>
      </w:tr>
      <w:tr>
        <w:tc>
          <w:tcPr>
            <w:tcW w:type="dxa" w:w="21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Structural / Mechanical</w:t>
            </w:r>
          </w:p>
        </w:tc>
        <w:tc>
          <w:tcPr>
            <w:tcW w:type="dxa" w:w="25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Funding rate carry (S6), basis harvest</w:t>
            </w:r>
          </w:p>
        </w:tc>
        <w:tc>
          <w:tcPr>
            <w:tcW w:type="dxa" w:w="14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Very slow (years)</w:t>
            </w:r>
          </w:p>
        </w:tc>
        <w:tc>
          <w:tcPr>
            <w:tcW w:type="dxa" w:w="33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Hardwired into contract mechanics; cannot be arbitraged away while retail leverage demand exists</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Calendar / Event</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Token unlocks (S3), halving cycle (S10)</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Slow (degrades as more traders know)</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Supply/demand mechanics are public but require capital commitment to exploit</w:t>
            </w:r>
          </w:p>
        </w:tc>
      </w:tr>
      <w:tr>
        <w:tc>
          <w:tcPr>
            <w:tcW w:type="dxa" w:w="21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Behavioral / Regime</w:t>
            </w:r>
          </w:p>
        </w:tc>
        <w:tc>
          <w:tcPr>
            <w:tcW w:type="dxa" w:w="25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Weekend momentum (S1), whale accumulation (S8)</w:t>
            </w:r>
          </w:p>
        </w:tc>
        <w:tc>
          <w:tcPr>
            <w:tcW w:type="dxa" w:w="14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Medium (degrades as market matures)</w:t>
            </w:r>
          </w:p>
        </w:tc>
        <w:tc>
          <w:tcPr>
            <w:tcW w:type="dxa" w:w="33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Human psychology patterns; persist until market composition changes dramatically</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Statistical / Microstructure</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Funding Z-score reversion (S2), OBI signal (S11)</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Fast (months to years)</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Pattern exploitation; degrades as more bots run the same model</w:t>
            </w:r>
          </w:p>
        </w:tc>
      </w:tr>
    </w:tbl>
    <w:p>
      <w:pPr>
        <w:spacing w:before="80"/>
      </w:pPr>
      <w:r>
        <w:t xml:space="preserve"/>
      </w:r>
    </w:p>
    <w:p>
      <w:pPr>
        <w:spacing w:before="80" w:after="120"/>
      </w:pPr>
      <w:r>
        <w:t xml:space="preserve">Your current portfolio is heavy on Statistical (S2) and Behavioral (S1) edges, which decay at medium speed. The most durable alpha comes from Structural and Calendar edges (S6, S3, S9, S10). Building S6 and S9 should be your highest priority because they exploit hardwired contract mechanics that will not decay regardless of how many bots enter the market.</w:t>
      </w:r>
    </w:p>
    <w:p>
      <w:pPr>
        <w:pBdr>
          <w:bottom w:val="single" w:color="2563EB" w:sz="4" w:space="1"/>
        </w:pBdr>
        <w:spacing w:before="160" w:after="160"/>
      </w:pPr>
      <w:r>
        <w:t xml:space="preserve"/>
      </w:r>
    </w:p>
    <w:p>
      <w:pPr>
        <w:spacing w:before="200"/>
        <w:jc w:val="center"/>
      </w:pPr>
      <w:r>
        <w:rPr>
          <w:color w:val="94A3B8"/>
          <w:sz w:val="18"/>
          <w:szCs w:val="18"/>
        </w:rPr>
        <w:t xml:space="preserve">PandaTrader Strategy Review — February 2026 — Confidential Research Document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E3A5F"/>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563EB"/>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D4ED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2026-02-17T22:05:47.565Z</dcterms:created>
  <dcterms:modified xsi:type="dcterms:W3CDTF">2026-02-17T22:05:47.566Z</dcterms:modified>
</cp:coreProperties>
</file>

<file path=docProps/custom.xml><?xml version="1.0" encoding="utf-8"?>
<Properties xmlns="http://schemas.openxmlformats.org/officeDocument/2006/custom-properties" xmlns:vt="http://schemas.openxmlformats.org/officeDocument/2006/docPropsVTypes"/>
</file>