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60" w:line="276" w:lineRule="auto"/>
        <w:jc w:val="center"/>
      </w:pPr>
      <w:r>
        <w:rPr>
          <w:rFonts w:ascii="Calibri" w:hAnsi="Calibri"/>
          <w:sz w:val="30"/>
          <w:color w:val="0F172A"/>
          <w:b/>
        </w:rPr>
        <w:t xml:space="preserve">SURAT PERJANJIAN KERJA SAMA (PKS)</w:t>
      </w:r>
    </w:p>
    <w:p>
      <w:pPr>
        <w:spacing w:after="80" w:line="276" w:lineRule="auto"/>
        <w:jc w:val="center"/>
      </w:pPr>
      <w:r>
        <w:rPr>
          <w:rFonts w:ascii="Calibri" w:hAnsi="Calibri"/>
          <w:sz w:val="24"/>
          <w:color w:val="1E3A8A"/>
          <w:b/>
        </w:rPr>
        <w:t xml:space="preserve">PENGADAAN DAN PENGEMBANGAN SISTEM INFORMASI TERPADU "RAGI"</w:t>
      </w:r>
    </w:p>
    <w:p>
      <w:pPr>
        <w:spacing w:after="40" w:line="276" w:lineRule="auto"/>
        <w:jc w:val="center"/>
      </w:pPr>
      <w:r>
        <w:rPr>
          <w:rFonts w:ascii="Calibri" w:hAnsi="Calibri"/>
          <w:sz w:val="20"/>
          <w:color w:val="1E293B"/>
          <w:b/>
        </w:rPr>
        <w:t xml:space="preserve">ANTARA</w:t>
      </w:r>
    </w:p>
    <w:p>
      <w:pPr>
        <w:spacing w:after="40" w:line="276" w:lineRule="auto"/>
        <w:jc w:val="center"/>
      </w:pPr>
      <w:r>
        <w:rPr>
          <w:rFonts w:ascii="Calibri" w:hAnsi="Calibri"/>
          <w:sz w:val="22"/>
          <w:color w:val="1E293B"/>
          <w:b/>
        </w:rPr>
        <w:t xml:space="preserve">POLITEKNIK INDONUSA SURAKARTA</w:t>
      </w:r>
    </w:p>
    <w:p>
      <w:pPr>
        <w:spacing w:after="40" w:line="276" w:lineRule="auto"/>
        <w:jc w:val="center"/>
      </w:pPr>
      <w:r>
        <w:rPr>
          <w:rFonts w:ascii="Calibri" w:hAnsi="Calibri"/>
          <w:sz w:val="20"/>
          <w:color w:val="1E293B"/>
          <w:b/>
        </w:rPr>
        <w:t xml:space="preserve">DENGAN</w:t>
      </w:r>
    </w:p>
    <w:p>
      <w:pPr>
        <w:spacing w:after="140" w:line="276" w:lineRule="auto"/>
        <w:jc w:val="center"/>
      </w:pPr>
      <w:r>
        <w:rPr>
          <w:rFonts w:ascii="Calibri" w:hAnsi="Calibri"/>
          <w:sz w:val="22"/>
          <w:color w:val="1E293B"/>
          <w:b/>
        </w:rPr>
        <w:t xml:space="preserve">TIM PENGEMBANG SISTEM INFORMASI RAGI</w:t>
      </w:r>
    </w:p>
    <w:p>
      <w:pPr>
        <w:pBdr>
          <w:bottom w:val="single" w:sz="12" w:space="8" w:color="0F172A"/>
        </w:pBdr>
        <w:spacing w:after="180"/>
      </w:pPr>
    </w:p>
    <w:p>
      <w:pPr>
        <w:spacing w:after="40" w:line="276" w:lineRule="auto"/>
      </w:pPr>
      <w:r>
        <w:rPr>
          <w:rFonts w:ascii="Calibri" w:hAnsi="Calibri"/>
          <w:sz w:val="20"/>
          <w:color w:val="1E293B"/>
          <w:b/>
        </w:rPr>
        <w:t xml:space="preserve">Nomor Pihak Pertama :</w:t>
      </w:r>
      <w:r>
        <w:rPr>
          <w:rFonts w:ascii="Calibri" w:hAnsi="Calibri"/>
          <w:sz w:val="20"/>
          <w:color w:val="1E293B"/>
        </w:rPr>
        <w:t xml:space="preserve"> [Nomor Surat Kampus]/PKS/POLTEK-INDO/2026</w:t>
      </w:r>
    </w:p>
    <w:p>
      <w:pPr>
        <w:spacing w:after="160" w:line="276" w:lineRule="auto"/>
      </w:pPr>
      <w:r>
        <w:rPr>
          <w:rFonts w:ascii="Calibri" w:hAnsi="Calibri"/>
          <w:sz w:val="20"/>
          <w:color w:val="1E293B"/>
          <w:b/>
        </w:rPr>
        <w:t xml:space="preserve">Nomor Pihak Kedua   :</w:t>
      </w:r>
      <w:r>
        <w:rPr>
          <w:rFonts w:ascii="Calibri" w:hAnsi="Calibri"/>
          <w:sz w:val="20"/>
          <w:color w:val="1E293B"/>
        </w:rPr>
        <w:t xml:space="preserve"> [Nomor Surat Developer]/PKS-DEV/RAGI/X/2026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Pada hari ini, </w:t>
      </w:r>
      <w:r>
        <w:rPr>
          <w:rFonts w:ascii="Calibri" w:hAnsi="Calibri"/>
          <w:sz w:val="22"/>
          <w:color w:val="1E293B"/>
          <w:b/>
        </w:rPr>
        <w:t xml:space="preserve">[Hari]</w:t>
      </w:r>
      <w:r>
        <w:rPr>
          <w:rFonts w:ascii="Calibri" w:hAnsi="Calibri"/>
          <w:sz w:val="22"/>
          <w:color w:val="1E293B"/>
        </w:rPr>
        <w:t xml:space="preserve">, tanggal </w:t>
      </w:r>
      <w:r>
        <w:rPr>
          <w:rFonts w:ascii="Calibri" w:hAnsi="Calibri"/>
          <w:sz w:val="22"/>
          <w:color w:val="1E293B"/>
          <w:b/>
        </w:rPr>
        <w:t xml:space="preserve">[Tanggal]</w:t>
      </w:r>
      <w:r>
        <w:rPr>
          <w:rFonts w:ascii="Calibri" w:hAnsi="Calibri"/>
          <w:sz w:val="22"/>
          <w:color w:val="1E293B"/>
        </w:rPr>
        <w:t xml:space="preserve"> bulan </w:t>
      </w:r>
      <w:r>
        <w:rPr>
          <w:rFonts w:ascii="Calibri" w:hAnsi="Calibri"/>
          <w:sz w:val="22"/>
          <w:color w:val="1E293B"/>
          <w:b/>
        </w:rPr>
        <w:t xml:space="preserve">[Bulan]</w:t>
      </w:r>
      <w:r>
        <w:rPr>
          <w:rFonts w:ascii="Calibri" w:hAnsi="Calibri"/>
          <w:sz w:val="22"/>
          <w:color w:val="1E293B"/>
        </w:rPr>
        <w:t xml:space="preserve"> tahun </w:t>
      </w:r>
      <w:r>
        <w:rPr>
          <w:rFonts w:ascii="Calibri" w:hAnsi="Calibri"/>
          <w:sz w:val="22"/>
          <w:color w:val="1E293B"/>
          <w:b/>
        </w:rPr>
        <w:t xml:space="preserve">Dua Ribu Dua Puluh Enam (..-..-2026)</w:t>
      </w:r>
      <w:r>
        <w:rPr>
          <w:rFonts w:ascii="Calibri" w:hAnsi="Calibri"/>
          <w:sz w:val="22"/>
          <w:color w:val="1E293B"/>
        </w:rPr>
        <w:t xml:space="preserve">, bertempat di Surakarta, yang bertanda tangan di bawah ini: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1. </w:t>
      </w:r>
      <w:r>
        <w:rPr>
          <w:rFonts w:ascii="Calibri" w:hAnsi="Calibri"/>
          <w:sz w:val="22"/>
          <w:color w:val="1E293B"/>
          <w:b/>
        </w:rPr>
        <w:t xml:space="preserve">[Nama Pimpinan / Direktur Kampus]</w:t>
      </w:r>
      <w:r>
        <w:rPr>
          <w:rFonts w:ascii="Calibri" w:hAnsi="Calibri"/>
          <w:sz w:val="22"/>
          <w:color w:val="1E293B"/>
        </w:rPr>
        <w:t xml:space="preserve">, bertindak dalam jabatannya selaku Direktur Politeknik Indonusa Surakarta, berkedudukan di Jl. KH Samanhudi No. 84-86, Laweyan, Surakarta, Jawa Tengah, bertindak untuk dan atas nama </w:t>
      </w:r>
      <w:r>
        <w:rPr>
          <w:rFonts w:ascii="Calibri" w:hAnsi="Calibri"/>
          <w:sz w:val="22"/>
          <w:color w:val="1E293B"/>
          <w:b/>
        </w:rPr>
        <w:t xml:space="preserve">POLITEKNIK INDONUSA SURAKARTA</w:t>
      </w:r>
      <w:r>
        <w:rPr>
          <w:rFonts w:ascii="Calibri" w:hAnsi="Calibri"/>
          <w:sz w:val="22"/>
          <w:color w:val="1E293B"/>
        </w:rPr>
        <w:t xml:space="preserve">, selanjutnya disebut sebagai </w:t>
      </w:r>
      <w:r>
        <w:rPr>
          <w:rFonts w:ascii="Calibri" w:hAnsi="Calibri"/>
          <w:sz w:val="22"/>
          <w:color w:val="1E293B"/>
          <w:b/>
        </w:rPr>
        <w:t xml:space="preserve">PIHAK PERTAMA</w:t>
      </w:r>
      <w:r>
        <w:rPr>
          <w:rFonts w:ascii="Calibri" w:hAnsi="Calibri"/>
          <w:sz w:val="22"/>
          <w:color w:val="1E293B"/>
        </w:rPr>
        <w:t xml:space="preserve">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2. </w:t>
      </w:r>
      <w:r>
        <w:rPr>
          <w:rFonts w:ascii="Calibri" w:hAnsi="Calibri"/>
          <w:sz w:val="22"/>
          <w:color w:val="1E293B"/>
          <w:b/>
        </w:rPr>
        <w:t xml:space="preserve">[Nama Pimpinan Pengembang]</w:t>
      </w:r>
      <w:r>
        <w:rPr>
          <w:rFonts w:ascii="Calibri" w:hAnsi="Calibri"/>
          <w:sz w:val="22"/>
          <w:color w:val="1E293B"/>
        </w:rPr>
        <w:t xml:space="preserve">, bertindak dalam jabatannya selaku Pimpinan Tim Pengembang / Lead Architect Sistem Informasi RAGI, berkedudukan di [Alamat Kantor Pengembang], bertindak untuk dan atas nama </w:t>
      </w:r>
      <w:r>
        <w:rPr>
          <w:rFonts w:ascii="Calibri" w:hAnsi="Calibri"/>
          <w:sz w:val="22"/>
          <w:color w:val="1E293B"/>
          <w:b/>
        </w:rPr>
        <w:t xml:space="preserve">TIM PENGEMBANG RAGI</w:t>
      </w:r>
      <w:r>
        <w:rPr>
          <w:rFonts w:ascii="Calibri" w:hAnsi="Calibri"/>
          <w:sz w:val="22"/>
          <w:color w:val="1E293B"/>
        </w:rPr>
        <w:t xml:space="preserve">, selanjutnya disebut sebagai </w:t>
      </w:r>
      <w:r>
        <w:rPr>
          <w:rFonts w:ascii="Calibri" w:hAnsi="Calibri"/>
          <w:sz w:val="22"/>
          <w:color w:val="1E293B"/>
          <w:b/>
        </w:rPr>
        <w:t xml:space="preserve">PIHAK KEDUA</w:t>
      </w:r>
      <w:r>
        <w:rPr>
          <w:rFonts w:ascii="Calibri" w:hAnsi="Calibri"/>
          <w:sz w:val="22"/>
          <w:color w:val="1E293B"/>
        </w:rPr>
        <w:t xml:space="preserve">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PIHAK PERTAMA dan PIHAK KEDUA secara bersama-sama selanjutnya disebut sebagai </w:t>
      </w:r>
      <w:r>
        <w:rPr>
          <w:rFonts w:ascii="Calibri" w:hAnsi="Calibri"/>
          <w:sz w:val="22"/>
          <w:color w:val="1E293B"/>
          <w:b/>
        </w:rPr>
        <w:t xml:space="preserve">PARA PIHAK</w:t>
      </w:r>
      <w:r>
        <w:rPr>
          <w:rFonts w:ascii="Calibri" w:hAnsi="Calibri"/>
          <w:sz w:val="22"/>
          <w:color w:val="1E293B"/>
        </w:rPr>
        <w:t xml:space="preserve">, dan masing-masing disebut sebagai </w:t>
      </w:r>
      <w:r>
        <w:rPr>
          <w:rFonts w:ascii="Calibri" w:hAnsi="Calibri"/>
          <w:sz w:val="22"/>
          <w:color w:val="1E293B"/>
          <w:b/>
        </w:rPr>
        <w:t xml:space="preserve">PIHAK</w:t>
      </w:r>
      <w:r>
        <w:rPr>
          <w:rFonts w:ascii="Calibri" w:hAnsi="Calibri"/>
          <w:sz w:val="22"/>
          <w:color w:val="1E293B"/>
        </w:rPr>
        <w:t xml:space="preserve">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  <w:b/>
        </w:rPr>
        <w:t xml:space="preserve">PARA PIHAK terlebih dahulu menerangkan hal-hal sebagai berikut: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1. Bahwa PIHAK PERTAMA memerlukan sistem informasi manajemen kampus terintegrasi untuk mendukung tata kelola akademik, keuangan, kepegawaian, sarana prasarana, dan penerimaan mahasiswa baru di Politeknik Indonusa Surakarta.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2. Bahwa PIHAK KEDUA memiliki kompetensi, keahlian, teknologi, dan pengalaman dalam pengembangan sistem informasi perguruan tinggi yang terintegrasi (Sistem RAGI).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3. Bahwa PARA PIHAK telah sepakat atas nilai pengadaan, ruang lingkup pengerjaan per modul, dan jadwal termin pembayaran yang dituangkan dalam Perjanjian ini.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Berdasarkan hal-hal tersebut di atas, PARA PIHAK sepakat untuk membuat, menandatangani, dan melaksanakan Perjanjian Kerja Sama ini dengan syarat-syarat dan ketentuan sebagai berikut:</w:t>
      </w:r>
    </w:p>
    <w:p>
      <w:pPr>
        <w:spacing w:after="100" w:line="276" w:lineRule="auto"/>
        <w:jc w:val="left"/>
      </w:pPr>
      <w:r>
        <w:rPr>
          <w:rFonts w:ascii="Calibri" w:hAnsi="Calibri"/>
          <w:sz w:val="23"/>
          <w:color w:val="0F172A"/>
          <w:b/>
        </w:rPr>
        <w:t xml:space="preserve">PASAL 1 — DEFINISI DAN ISTILAH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Dalam Perjanjian ini yang dimaksud dengan: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1. </w:t>
      </w:r>
      <w:r>
        <w:rPr>
          <w:rFonts w:ascii="Calibri" w:hAnsi="Calibri"/>
          <w:sz w:val="22"/>
          <w:color w:val="1E293B"/>
          <w:b/>
        </w:rPr>
        <w:t xml:space="preserve">Sistem RAGI</w:t>
      </w:r>
      <w:r>
        <w:rPr>
          <w:rFonts w:ascii="Calibri" w:hAnsi="Calibri"/>
          <w:sz w:val="22"/>
          <w:color w:val="1E293B"/>
        </w:rPr>
        <w:t xml:space="preserve"> adalah ekosistem perangkat lunak terintegrasi berbasis web yang dikembangkan oleh PIHAK KEDUA, mencakup modul SSO/IAM, SIMPEG, SIKEU, SIAKAD, SPMB, dan SINAPRA.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2. </w:t>
      </w:r>
      <w:r>
        <w:rPr>
          <w:rFonts w:ascii="Calibri" w:hAnsi="Calibri"/>
          <w:sz w:val="22"/>
          <w:color w:val="1E293B"/>
          <w:b/>
        </w:rPr>
        <w:t xml:space="preserve">Scope of Work (SoW)</w:t>
      </w:r>
      <w:r>
        <w:rPr>
          <w:rFonts w:ascii="Calibri" w:hAnsi="Calibri"/>
          <w:sz w:val="22"/>
          <w:color w:val="1E293B"/>
        </w:rPr>
        <w:t xml:space="preserve"> adalah batasan detail spesifikasi teknis dan fungsi modul yang disepakati untuk dikembangkan dan diserahkan sebagaimana tercantum dalam </w:t>
      </w:r>
      <w:r>
        <w:rPr>
          <w:rFonts w:ascii="Calibri" w:hAnsi="Calibri"/>
          <w:sz w:val="22"/>
          <w:color w:val="1E293B"/>
          <w:b/>
        </w:rPr>
        <w:t xml:space="preserve">Lampiran I</w:t>
      </w:r>
      <w:r>
        <w:rPr>
          <w:rFonts w:ascii="Calibri" w:hAnsi="Calibri"/>
          <w:sz w:val="22"/>
          <w:color w:val="1E293B"/>
        </w:rPr>
        <w:t xml:space="preserve">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3. </w:t>
      </w:r>
      <w:r>
        <w:rPr>
          <w:rFonts w:ascii="Calibri" w:hAnsi="Calibri"/>
          <w:sz w:val="22"/>
          <w:color w:val="1E293B"/>
          <w:b/>
        </w:rPr>
        <w:t xml:space="preserve">Term of Payment (ToP)</w:t>
      </w:r>
      <w:r>
        <w:rPr>
          <w:rFonts w:ascii="Calibri" w:hAnsi="Calibri"/>
          <w:sz w:val="22"/>
          <w:color w:val="1E293B"/>
        </w:rPr>
        <w:t xml:space="preserve"> adalah ketentuan tahapan pembayaran berdasarkan capaian penyelesaian pekerjaan (milestone) sebagaimana tercantum dalam </w:t>
      </w:r>
      <w:r>
        <w:rPr>
          <w:rFonts w:ascii="Calibri" w:hAnsi="Calibri"/>
          <w:sz w:val="22"/>
          <w:color w:val="1E293B"/>
          <w:b/>
        </w:rPr>
        <w:t xml:space="preserve">Lampiran II</w:t>
      </w:r>
      <w:r>
        <w:rPr>
          <w:rFonts w:ascii="Calibri" w:hAnsi="Calibri"/>
          <w:sz w:val="22"/>
          <w:color w:val="1E293B"/>
        </w:rPr>
        <w:t xml:space="preserve">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4. </w:t>
      </w:r>
      <w:r>
        <w:rPr>
          <w:rFonts w:ascii="Calibri" w:hAnsi="Calibri"/>
          <w:sz w:val="22"/>
          <w:color w:val="1E293B"/>
          <w:b/>
        </w:rPr>
        <w:t xml:space="preserve">Berita Acara Serah Terima (BAST)</w:t>
      </w:r>
      <w:r>
        <w:rPr>
          <w:rFonts w:ascii="Calibri" w:hAnsi="Calibri"/>
          <w:sz w:val="22"/>
          <w:color w:val="1E293B"/>
        </w:rPr>
        <w:t xml:space="preserve"> adalah dokumen bukti tertulis yang ditandatangani oleh PARA PIHAK yang menyatakan bahwa modul atau seluruh sistem telah selesai diuji dan diterima dengan baik.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5. </w:t>
      </w:r>
      <w:r>
        <w:rPr>
          <w:rFonts w:ascii="Calibri" w:hAnsi="Calibri"/>
          <w:sz w:val="22"/>
          <w:color w:val="1E293B"/>
          <w:b/>
        </w:rPr>
        <w:t xml:space="preserve">Change Request (CR)</w:t>
      </w:r>
      <w:r>
        <w:rPr>
          <w:rFonts w:ascii="Calibri" w:hAnsi="Calibri"/>
          <w:sz w:val="22"/>
          <w:color w:val="1E293B"/>
        </w:rPr>
        <w:t xml:space="preserve"> adalah setiap permintaan modifikasi, penambahan, atau perubahan fitur yang berada di luar batasan Scope of Work (SoW) yang telah disepakati.</w:t>
      </w:r>
    </w:p>
    <w:p>
      <w:pPr>
        <w:spacing w:after="100" w:line="276" w:lineRule="auto"/>
        <w:jc w:val="left"/>
      </w:pPr>
      <w:r>
        <w:rPr>
          <w:rFonts w:ascii="Calibri" w:hAnsi="Calibri"/>
          <w:sz w:val="23"/>
          <w:color w:val="0F172A"/>
          <w:b/>
        </w:rPr>
        <w:t xml:space="preserve">PASAL 2 — RUANG LINGKUP PEKERJAAN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1. PIHAK KEDUA berkewajiban merancang, mengonfigurasi, menguji, dan menyerahkan implementasi Sistem RAGI kepada PIHAK PERTAMA.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2. Rincian batasan pengerjaan modul, fitur yang dikerjakan (</w:t>
      </w:r>
      <w:r>
        <w:rPr>
          <w:rFonts w:ascii="Calibri" w:hAnsi="Calibri"/>
          <w:sz w:val="22"/>
          <w:color w:val="1E293B"/>
          <w:b/>
        </w:rPr>
        <w:t xml:space="preserve">In-Scope</w:t>
      </w:r>
      <w:r>
        <w:rPr>
          <w:rFonts w:ascii="Calibri" w:hAnsi="Calibri"/>
          <w:sz w:val="22"/>
          <w:color w:val="1E293B"/>
        </w:rPr>
        <w:t xml:space="preserve">), dan fitur yang secara tegas </w:t>
      </w:r>
      <w:r>
        <w:rPr>
          <w:rFonts w:ascii="Calibri" w:hAnsi="Calibri"/>
          <w:sz w:val="22"/>
          <w:color w:val="1E293B"/>
          <w:b/>
        </w:rPr>
        <w:t xml:space="preserve">tidak termasuk (Out-of-Scope)</w:t>
      </w:r>
      <w:r>
        <w:rPr>
          <w:rFonts w:ascii="Calibri" w:hAnsi="Calibri"/>
          <w:sz w:val="22"/>
          <w:color w:val="1E293B"/>
        </w:rPr>
        <w:t xml:space="preserve"> diatur secara mengikat pada </w:t>
      </w:r>
      <w:r>
        <w:rPr>
          <w:rFonts w:ascii="Calibri" w:hAnsi="Calibri"/>
          <w:sz w:val="22"/>
          <w:color w:val="1E293B"/>
          <w:b/>
        </w:rPr>
        <w:t xml:space="preserve">Lampiran I (Scope of Work)</w:t>
      </w:r>
      <w:r>
        <w:rPr>
          <w:rFonts w:ascii="Calibri" w:hAnsi="Calibri"/>
          <w:sz w:val="22"/>
          <w:color w:val="1E293B"/>
        </w:rPr>
        <w:t xml:space="preserve"> Perjanjian ini.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3. Modul utama yang tercakup dalam kesepakatan ini terdiri atas: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   a. Modul Master SSO &amp; Manajemen Pengguna (IAM &amp; RBAC)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   b. Modul Sistem Informasi Kepegawaian (SIMPEG) &amp; Payroll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   c. Modul Sistem Informasi Keuangan (SIKEU) &amp; Akuntansi Kas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   d. Modul Sistem Informasi Akademik (SIAKAD) &amp; Pemantauan Kurikulum OBE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   e. Modul Seleksi Penerimaan Mahasiswa Baru (SPMB) Jalur Berkas/Administrasi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   f. Modul Sistem Informasi Sarana Prasarana (SINAPRA)</w:t>
      </w:r>
    </w:p>
    <w:p>
      <w:pPr>
        <w:spacing w:after="100" w:line="276" w:lineRule="auto"/>
        <w:jc w:val="left"/>
      </w:pPr>
      <w:r>
        <w:rPr>
          <w:rFonts w:ascii="Calibri" w:hAnsi="Calibri"/>
          <w:sz w:val="23"/>
          <w:color w:val="0F172A"/>
          <w:b/>
        </w:rPr>
        <w:t xml:space="preserve">PASAL 3 — JANGKA WAKTU DAN JADWAL PENGERJAAN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1. Pekerjaan pengembangan dan implementasi Sistem RAGI dilaksanakan selama </w:t>
      </w:r>
      <w:r>
        <w:rPr>
          <w:rFonts w:ascii="Calibri" w:hAnsi="Calibri"/>
          <w:sz w:val="22"/>
          <w:color w:val="1E293B"/>
          <w:b/>
        </w:rPr>
        <w:t xml:space="preserve">[Jumlah Hari/Bulan, contoh: 90 (Sembilan Puluh) Hari Kalender / 12 Minggu]</w:t>
      </w:r>
      <w:r>
        <w:rPr>
          <w:rFonts w:ascii="Calibri" w:hAnsi="Calibri"/>
          <w:sz w:val="22"/>
          <w:color w:val="1E293B"/>
        </w:rPr>
        <w:t xml:space="preserve">, terhitung sejak ditandatanganinya Perjanjian ini dan diterimanya Pembayaran Uang Muka (Termin 1).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2. Rincian jadwal penyerahan modul (Milestone) per tahap tercantum dalam </w:t>
      </w:r>
      <w:r>
        <w:rPr>
          <w:rFonts w:ascii="Calibri" w:hAnsi="Calibri"/>
          <w:sz w:val="22"/>
          <w:color w:val="1E293B"/>
          <w:b/>
        </w:rPr>
        <w:t xml:space="preserve">Lampiran II</w:t>
      </w:r>
      <w:r>
        <w:rPr>
          <w:rFonts w:ascii="Calibri" w:hAnsi="Calibri"/>
          <w:sz w:val="22"/>
          <w:color w:val="1E293B"/>
        </w:rPr>
        <w:t xml:space="preserve">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3. Apabila terjadi keterlambatan yang disebabkan oleh belum diserahkannya data dasar/master dari PIHAK PERTAMA, maka jangka waktu pengerjaan otomatis disesuaikan secara proporsional tanpa penalti bagi PIHAK KEDUA.</w:t>
      </w:r>
    </w:p>
    <w:p>
      <w:pPr>
        <w:spacing w:after="100" w:line="276" w:lineRule="auto"/>
        <w:jc w:val="left"/>
      </w:pPr>
      <w:r>
        <w:rPr>
          <w:rFonts w:ascii="Calibri" w:hAnsi="Calibri"/>
          <w:sz w:val="23"/>
          <w:color w:val="0F172A"/>
          <w:b/>
        </w:rPr>
        <w:t xml:space="preserve">PASAL 4 — NILAI KONTRAK DAN TERMIN PEMBAYARAN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1. Total nilai pengadaan Sistem RAGI yang disepakati PARA PIHAK adalah sebesar: </w:t>
      </w:r>
      <w:r>
        <w:rPr>
          <w:rFonts w:ascii="Calibri" w:hAnsi="Calibri"/>
          <w:sz w:val="22"/>
          <w:color w:val="1E293B"/>
          <w:b/>
        </w:rPr>
        <w:t xml:space="preserve">Rp [Nominal Angka],- ([Terbilang Rupiah])</w:t>
      </w:r>
      <w:r>
        <w:rPr>
          <w:rFonts w:ascii="Calibri" w:hAnsi="Calibri"/>
          <w:sz w:val="22"/>
          <w:color w:val="1E293B"/>
        </w:rPr>
        <w:t xml:space="preserve"> (sudah termasuk biaya lisensi penggunaan, instalasi pada infrastruktur kampus, pelatihan admin, dan garansi pemeliharaan).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2. Pembayaran dilakukan secara bertahap (</w:t>
      </w:r>
      <w:r>
        <w:rPr>
          <w:rFonts w:ascii="Calibri" w:hAnsi="Calibri"/>
          <w:sz w:val="22"/>
          <w:color w:val="1E293B"/>
          <w:b/>
        </w:rPr>
        <w:t xml:space="preserve">Termin</w:t>
      </w:r>
      <w:r>
        <w:rPr>
          <w:rFonts w:ascii="Calibri" w:hAnsi="Calibri"/>
          <w:sz w:val="22"/>
          <w:color w:val="1E293B"/>
        </w:rPr>
        <w:t xml:space="preserve">) berbasis penyelesaian Milestone dan penandatanganan BAST per tahap dengan rincian: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   a. </w:t>
      </w:r>
      <w:r>
        <w:rPr>
          <w:rFonts w:ascii="Calibri" w:hAnsi="Calibri"/>
          <w:sz w:val="22"/>
          <w:color w:val="1E293B"/>
          <w:b/>
        </w:rPr>
        <w:t xml:space="preserve">Termin 1 (Uang Muka / DP) : 25%</w:t>
      </w:r>
      <w:r>
        <w:rPr>
          <w:rFonts w:ascii="Calibri" w:hAnsi="Calibri"/>
          <w:sz w:val="22"/>
          <w:color w:val="1E293B"/>
        </w:rPr>
        <w:t xml:space="preserve"> = Rp [Nominal] (Pemicu: Penandatanganan PKS, penyiapan arsitektur sistem, dan setup environment).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   b. </w:t>
      </w:r>
      <w:r>
        <w:rPr>
          <w:rFonts w:ascii="Calibri" w:hAnsi="Calibri"/>
          <w:sz w:val="22"/>
          <w:color w:val="1E293B"/>
          <w:b/>
        </w:rPr>
        <w:t xml:space="preserve">Termin 2 : 25%</w:t>
      </w:r>
      <w:r>
        <w:rPr>
          <w:rFonts w:ascii="Calibri" w:hAnsi="Calibri"/>
          <w:sz w:val="22"/>
          <w:color w:val="1E293B"/>
        </w:rPr>
        <w:t xml:space="preserve"> = Rp [Nominal] (Pemicu: Serah terima &amp; uji modul Master SSO &amp; SIMPEG termasuk modul Payroll/Slip Gaji. Ditandai dengan BAST Tahap I).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   c. </w:t>
      </w:r>
      <w:r>
        <w:rPr>
          <w:rFonts w:ascii="Calibri" w:hAnsi="Calibri"/>
          <w:sz w:val="22"/>
          <w:color w:val="1E293B"/>
          <w:b/>
        </w:rPr>
        <w:t xml:space="preserve">Termin 3 : 25%</w:t>
      </w:r>
      <w:r>
        <w:rPr>
          <w:rFonts w:ascii="Calibri" w:hAnsi="Calibri"/>
          <w:sz w:val="22"/>
          <w:color w:val="1E293B"/>
        </w:rPr>
        <w:t xml:space="preserve"> = Rp [Nominal] (Pemicu: Serah terima &amp; uji modul SIKEU terintegrasi Kas, Pencairan, &amp; Jurnal Penggajian Otomatis. Ditandai dengan BAST Tahap II).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   d. </w:t>
      </w:r>
      <w:r>
        <w:rPr>
          <w:rFonts w:ascii="Calibri" w:hAnsi="Calibri"/>
          <w:sz w:val="22"/>
          <w:color w:val="1E293B"/>
          <w:b/>
        </w:rPr>
        <w:t xml:space="preserve">Termin 4 (Final &amp; Go-Live) : 25%</w:t>
      </w:r>
      <w:r>
        <w:rPr>
          <w:rFonts w:ascii="Calibri" w:hAnsi="Calibri"/>
          <w:sz w:val="22"/>
          <w:color w:val="1E293B"/>
        </w:rPr>
        <w:t xml:space="preserve"> = Rp [Nominal] (Pemicu: Penyelesaian seluruh integrasi SIAKAD, SPMB, SINAPRA, UAT final, pelatihan staf kampus, dan Go-Live. Ditandai dengan BAST Final).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3. Pembayaran wajib ditransfer oleh PIHAK PERTAMA ke rekening resmi PIHAK KEDUA: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   • </w:t>
      </w:r>
      <w:r>
        <w:rPr>
          <w:rFonts w:ascii="Calibri" w:hAnsi="Calibri"/>
          <w:sz w:val="22"/>
          <w:color w:val="1E293B"/>
          <w:b/>
        </w:rPr>
        <w:t xml:space="preserve">Nama Bank      :</w:t>
      </w:r>
      <w:r>
        <w:rPr>
          <w:rFonts w:ascii="Calibri" w:hAnsi="Calibri"/>
          <w:sz w:val="22"/>
          <w:color w:val="1E293B"/>
        </w:rPr>
        <w:t xml:space="preserve"> [Bank Mandiri / BCA / BNI / BRI]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   • </w:t>
      </w:r>
      <w:r>
        <w:rPr>
          <w:rFonts w:ascii="Calibri" w:hAnsi="Calibri"/>
          <w:sz w:val="22"/>
          <w:color w:val="1E293B"/>
          <w:b/>
        </w:rPr>
        <w:t xml:space="preserve">Nomor Rekening :</w:t>
      </w:r>
      <w:r>
        <w:rPr>
          <w:rFonts w:ascii="Calibri" w:hAnsi="Calibri"/>
          <w:sz w:val="22"/>
          <w:color w:val="1E293B"/>
        </w:rPr>
        <w:t xml:space="preserve"> [Nomor Rekening Pengembang]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   • </w:t>
      </w:r>
      <w:r>
        <w:rPr>
          <w:rFonts w:ascii="Calibri" w:hAnsi="Calibri"/>
          <w:sz w:val="22"/>
          <w:color w:val="1E293B"/>
          <w:b/>
        </w:rPr>
        <w:t xml:space="preserve">Atas Nama      :</w:t>
      </w:r>
      <w:r>
        <w:rPr>
          <w:rFonts w:ascii="Calibri" w:hAnsi="Calibri"/>
          <w:sz w:val="22"/>
          <w:color w:val="1E293B"/>
        </w:rPr>
        <w:t xml:space="preserve"> [Nama Pemilik Rekening / Tim Pengembang]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4. Pembayaran setiap termin wajib dilunasi selambat-lambatnya </w:t>
      </w:r>
      <w:r>
        <w:rPr>
          <w:rFonts w:ascii="Calibri" w:hAnsi="Calibri"/>
          <w:sz w:val="22"/>
          <w:color w:val="1E293B"/>
          <w:b/>
        </w:rPr>
        <w:t xml:space="preserve">7 (Tujuh) hari kalender</w:t>
      </w:r>
      <w:r>
        <w:rPr>
          <w:rFonts w:ascii="Calibri" w:hAnsi="Calibri"/>
          <w:sz w:val="22"/>
          <w:color w:val="1E293B"/>
        </w:rPr>
        <w:t xml:space="preserve"> setelah invoice dan BAST terkait diterima oleh PIHAK PERTAMA.</w:t>
      </w:r>
    </w:p>
    <w:p>
      <w:pPr>
        <w:spacing w:after="100" w:line="276" w:lineRule="auto"/>
        <w:jc w:val="left"/>
      </w:pPr>
      <w:r>
        <w:rPr>
          <w:rFonts w:ascii="Calibri" w:hAnsi="Calibri"/>
          <w:sz w:val="23"/>
          <w:color w:val="0F172A"/>
          <w:b/>
        </w:rPr>
        <w:t xml:space="preserve">PASAL 5 — BATASAN PENGERJAAN &amp; MEKANISME CHANGE REQUEST (CR)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1. PIHAK KEDUA hanya berkewajiban mengerjakan fitur-fitur yang tercantum dalam In-Scope pada Lampiran I.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2. Apabila selama atau setelah proses pengembangan PIHAK PERTAMA menghendaki penambahan modul baru, pengubahan alur logika bisnis dasar, atau penambahan fitur yang tergolong Out-of-Scope, maka hal tersebut </w:t>
      </w:r>
      <w:r>
        <w:rPr>
          <w:rFonts w:ascii="Calibri" w:hAnsi="Calibri"/>
          <w:sz w:val="22"/>
          <w:color w:val="1E293B"/>
          <w:b/>
        </w:rPr>
        <w:t xml:space="preserve">wajib diajukan melalui Formulir Change Request (CR)</w:t>
      </w:r>
      <w:r>
        <w:rPr>
          <w:rFonts w:ascii="Calibri" w:hAnsi="Calibri"/>
          <w:sz w:val="22"/>
          <w:color w:val="1E293B"/>
        </w:rPr>
        <w:t xml:space="preserve">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3. Setiap Change Request akan dihitung secara terpisah oleh PIHAK KEDUA berdasarkan kebutuhan jam kerja (*man-days*) dan akan dituangkan dalam </w:t>
      </w:r>
      <w:r>
        <w:rPr>
          <w:rFonts w:ascii="Calibri" w:hAnsi="Calibri"/>
          <w:sz w:val="22"/>
          <w:color w:val="1E293B"/>
          <w:b/>
        </w:rPr>
        <w:t xml:space="preserve">Addendum Perjanjian</w:t>
      </w:r>
      <w:r>
        <w:rPr>
          <w:rFonts w:ascii="Calibri" w:hAnsi="Calibri"/>
          <w:sz w:val="22"/>
          <w:color w:val="1E293B"/>
        </w:rPr>
        <w:t xml:space="preserve"> yang memuat biaya tambahan serta penyesuaian jadwal penyerahan.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4. PIHAK KEDUA berhak menunda pengerjaan permintaan baru tersebut sampai adanya persetujuan tertulis (*approval*) dari PIHAK PERTAMA mengenai biaya dan jadwal Addendum terkait.</w:t>
      </w:r>
    </w:p>
    <w:p>
      <w:pPr>
        <w:spacing w:after="100" w:line="276" w:lineRule="auto"/>
        <w:jc w:val="left"/>
      </w:pPr>
      <w:r>
        <w:rPr>
          <w:rFonts w:ascii="Calibri" w:hAnsi="Calibri"/>
          <w:sz w:val="23"/>
          <w:color w:val="0F172A"/>
          <w:b/>
        </w:rPr>
        <w:t xml:space="preserve">PASAL 6 — PENGUJIAN DAN SERAH TERIMA (UAT &amp; BAST)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1. Untuk setiap termin yang selesai, PIHAK KEDUA akan memberikan akses kepada tim PIC PIHAK PERTAMA untuk melakukan *User Acceptance Testing* (UAT).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2. Masa peninjauan dan pengujian UAT oleh PIHAK PERTAMA adalah maksimal </w:t>
      </w:r>
      <w:r>
        <w:rPr>
          <w:rFonts w:ascii="Calibri" w:hAnsi="Calibri"/>
          <w:sz w:val="22"/>
          <w:color w:val="1E293B"/>
          <w:b/>
        </w:rPr>
        <w:t xml:space="preserve">7 (tujuh) hari kerja</w:t>
      </w:r>
      <w:r>
        <w:rPr>
          <w:rFonts w:ascii="Calibri" w:hAnsi="Calibri"/>
          <w:sz w:val="22"/>
          <w:color w:val="1E293B"/>
        </w:rPr>
        <w:t xml:space="preserve"> sejak akses penyerahan diberikan.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3. Apabila dalam kurun waktu 7 hari kerja PIHAK PERTAMA tidak memberikan catatan koreksi tertulis atau tidak menandatangani BAST tanpa alasan teknis yang sah, maka modul pada termin tersebut dianggap telah disetujui (*accepted*) secara sah demi hukum.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4. Perbaikan pada tahap UAT dibatasi pada ketidaksesuaian fungsi terhadap *Scope of Work*, bukan permintaan penambahan fitur baru.</w:t>
      </w:r>
    </w:p>
    <w:p>
      <w:pPr>
        <w:spacing w:after="100" w:line="276" w:lineRule="auto"/>
        <w:jc w:val="left"/>
      </w:pPr>
      <w:r>
        <w:rPr>
          <w:rFonts w:ascii="Calibri" w:hAnsi="Calibri"/>
          <w:sz w:val="23"/>
          <w:color w:val="0F172A"/>
          <w:b/>
        </w:rPr>
        <w:t xml:space="preserve">PASAL 7 — HAK KEKAYAAN INTELEKTUAL &amp; LISENSI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1. Hak Cipta, arsitektur dasar, dan kode sumber (*core framework engine*) Sistem RAGI tetap menjadi hak milik intelektual PIHAK KEDUA.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2. PIHAK KEDUA memberikan </w:t>
      </w:r>
      <w:r>
        <w:rPr>
          <w:rFonts w:ascii="Calibri" w:hAnsi="Calibri"/>
          <w:sz w:val="22"/>
          <w:color w:val="1E293B"/>
          <w:b/>
        </w:rPr>
        <w:t xml:space="preserve">Lisensi Penggunaan Penuh dan Tak Terbatas (Full Perpetual License)</w:t>
      </w:r>
      <w:r>
        <w:rPr>
          <w:rFonts w:ascii="Calibri" w:hAnsi="Calibri"/>
          <w:sz w:val="22"/>
          <w:color w:val="1E293B"/>
        </w:rPr>
        <w:t xml:space="preserve"> kepada PIHAK PERTAMA untuk mengoperasikan, menggunakan, dan menyimpan sistem ini di lingkungan Politeknik Indonusa Surakarta.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3. Seluruh data transaksi, data sivitas akademika, database mahasiswa, keuangan, dan data kepegawaian adalah </w:t>
      </w:r>
      <w:r>
        <w:rPr>
          <w:rFonts w:ascii="Calibri" w:hAnsi="Calibri"/>
          <w:sz w:val="22"/>
          <w:color w:val="1E293B"/>
          <w:b/>
        </w:rPr>
        <w:t xml:space="preserve">100% milik sah PIHAK PERTAMA</w:t>
      </w:r>
      <w:r>
        <w:rPr>
          <w:rFonts w:ascii="Calibri" w:hAnsi="Calibri"/>
          <w:sz w:val="22"/>
          <w:color w:val="1E293B"/>
        </w:rPr>
        <w:t xml:space="preserve">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4. PIHAK PERTAMA dilarang menduplikasi, menjual kembali (*resell*), mendistribusikan, atau mengalihkan sistem kepada pihak ketiga di luar entitas Politeknik Indonusa Surakarta tanpa izin tertulis dari PIHAK KEDUA.</w:t>
      </w:r>
    </w:p>
    <w:p>
      <w:pPr>
        <w:spacing w:after="100" w:line="276" w:lineRule="auto"/>
        <w:jc w:val="left"/>
      </w:pPr>
      <w:r>
        <w:rPr>
          <w:rFonts w:ascii="Calibri" w:hAnsi="Calibri"/>
          <w:sz w:val="23"/>
          <w:color w:val="0F172A"/>
          <w:b/>
        </w:rPr>
        <w:t xml:space="preserve">PASAL 8 — KERAHASIAAN INFORMASI (NDA)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1. PARA PIHAK sepakat untuk menjaga kerahasiaan seluruh data, informasi kelembagaan, kredensial akses, dan data pribadi sivitas akademika yang diperoleh selama pelaksanaan kerja sama ini.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2. Kewajiban kerahasiaan ini tetap berlaku secara sah meskipun masa berlaku Perjanjian ini telah berakhir.</w:t>
      </w:r>
    </w:p>
    <w:p>
      <w:pPr>
        <w:spacing w:after="100" w:line="276" w:lineRule="auto"/>
        <w:jc w:val="left"/>
      </w:pPr>
      <w:r>
        <w:rPr>
          <w:rFonts w:ascii="Calibri" w:hAnsi="Calibri"/>
          <w:sz w:val="23"/>
          <w:color w:val="0F172A"/>
          <w:b/>
        </w:rPr>
        <w:t xml:space="preserve">PASAL 9 — GARANSI PEMELIHARAAN (MAINTENANCE &amp; SLA)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1. PIHAK KEDUA memberikan </w:t>
      </w:r>
      <w:r>
        <w:rPr>
          <w:rFonts w:ascii="Calibri" w:hAnsi="Calibri"/>
          <w:sz w:val="22"/>
          <w:color w:val="1E293B"/>
          <w:b/>
        </w:rPr>
        <w:t xml:space="preserve">Garansi Pemeliharaan Gratis selama 3 (Tiga) Bulan</w:t>
      </w:r>
      <w:r>
        <w:rPr>
          <w:rFonts w:ascii="Calibri" w:hAnsi="Calibri"/>
          <w:sz w:val="22"/>
          <w:color w:val="1E293B"/>
        </w:rPr>
        <w:t xml:space="preserve"> terhitung sejak tanggal penandatanganan BAST Final (Go-Live).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2. Garansi mencakup perbaikan *bug*, kegagalan eksekusi query, perbaikan formula yang tidak sesuai SoW, serta pendampingan teknis admin.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3. Garansi tidak mencakup kerusakan akibat modifikasi kode sumber oleh pihak ketiga tanpa persetujuan PIHAK KEDUA, kegagalan infrastruktur hosting/jaringan kampus, atau serangan siber eksternal.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4. Layanan pemeliharaan pasca masa garansi 3 bulan berakhir dapat dilanjutkan melalui Kontrak Pemeliharaan Tahunan (*Annual Maintenance Contract / AMC*) terpisah.</w:t>
      </w:r>
    </w:p>
    <w:p>
      <w:pPr>
        <w:spacing w:after="100" w:line="276" w:lineRule="auto"/>
        <w:jc w:val="left"/>
      </w:pPr>
      <w:r>
        <w:rPr>
          <w:rFonts w:ascii="Calibri" w:hAnsi="Calibri"/>
          <w:sz w:val="23"/>
          <w:color w:val="0F172A"/>
          <w:b/>
        </w:rPr>
        <w:t xml:space="preserve">PASAL 10 — PENYELESAIAN PERSELISIHAN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1. Segala perselisihan yang timbul sehubungan dengan penafsiran atau pelaksanaan Perjanjian ini akan diselesaikan oleh PARA PIHAK secara musyawarah untuk mufakat.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2. Apabila musyawarah tidak mencapai mufakat dalam waktu 30 (tiga puluh) hari kalender, maka PARA PIHAK sepakat menyelesaikan perselisihan tersebut melalui Pengadilan Negeri Surakarta.</w:t>
      </w:r>
    </w:p>
    <w:p>
      <w:pPr>
        <w:spacing w:after="100" w:line="276" w:lineRule="auto"/>
        <w:jc w:val="left"/>
      </w:pPr>
      <w:r>
        <w:rPr>
          <w:rFonts w:ascii="Calibri" w:hAnsi="Calibri"/>
          <w:sz w:val="23"/>
          <w:color w:val="0F172A"/>
          <w:b/>
        </w:rPr>
        <w:t xml:space="preserve">PASAL 11 — PENUTUP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Perjanjian ini dibuat dalam rangkap 2 (dua) asli, bermeterai cukup Rp 10.000 (Sepuluh Ribu Rupiah) pada masing-masing rangkap, dan mempunyai kekuatan hukum yang sama bagi PARA PIHAK setelah ditandatangani dan dibubuhi cap instansi.</w:t>
      </w:r>
    </w:p>
    <w:p>
      <w:pPr>
        <w:spacing w:after="200" w:line="276" w:lineRule="auto"/>
      </w:pPr>
    </w:p>
    <w:tbl>
      <w:tblPr>
        <w:tblW w:w="9200" w:type="dxa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600" w:type="dxa"/>
          </w:tcPr>
          <w:p>
            <w:pPr>
              <w:spacing w:after="140" w:line="276" w:lineRule="auto"/>
              <w:jc w:val="center"/>
            </w:pPr>
            <w:r>
              <w:rPr>
                <w:rFonts w:ascii="Calibri" w:hAnsi="Calibri"/>
                <w:sz w:val="21"/>
                <w:color w:val="1E293B"/>
                <w:b/>
              </w:rPr>
              <w:t xml:space="preserve">PIHAK PERTAMA</w:t>
            </w:r>
          </w:p>
          <w:p>
            <w:pPr>
              <w:spacing w:after="140" w:line="276" w:lineRule="auto"/>
              <w:jc w:val="center"/>
            </w:pPr>
            <w:r>
              <w:rPr>
                <w:rFonts w:ascii="Calibri" w:hAnsi="Calibri"/>
                <w:sz w:val="20"/>
                <w:color w:val="1E293B"/>
                <w:b/>
              </w:rPr>
              <w:t xml:space="preserve">POLITEKNIK INDONUSA SURAKARTA</w:t>
            </w:r>
          </w:p>
          <w:p>
            <w:pPr>
              <w:spacing w:after="400" w:line="276" w:lineRule="auto"/>
            </w:pPr>
          </w:p>
          <w:p>
            <w:pPr>
              <w:spacing w:after="140" w:line="276" w:lineRule="auto"/>
              <w:jc w:val="center"/>
            </w:pPr>
            <w:r>
              <w:rPr>
                <w:rFonts w:ascii="Calibri" w:hAnsi="Calibri"/>
                <w:sz w:val="18"/>
                <w:color w:val="64748B"/>
                <w:i/>
              </w:rPr>
              <w:t xml:space="preserve">(Meterai Rp 10.000 &amp; Stempel)</w:t>
            </w:r>
          </w:p>
          <w:p>
            <w:pPr>
              <w:spacing w:after="400" w:line="276" w:lineRule="auto"/>
            </w:pPr>
          </w:p>
          <w:p>
            <w:pPr>
              <w:spacing w:after="140" w:line="276" w:lineRule="auto"/>
              <w:jc w:val="center"/>
            </w:pPr>
            <w:r>
              <w:rPr>
                <w:rFonts w:ascii="Calibri" w:hAnsi="Calibri"/>
                <w:sz w:val="21"/>
                <w:color w:val="1E293B"/>
                <w:b/>
                <w:u w:val="single"/>
              </w:rPr>
              <w:t xml:space="preserve">[Nama Direktur Kampus]</w:t>
            </w:r>
          </w:p>
          <w:p>
            <w:pPr>
              <w:spacing w:after="140" w:line="276" w:lineRule="auto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 xml:space="preserve">Direktur</w:t>
            </w:r>
          </w:p>
        </w:tc>
        <w:tc>
          <w:tcPr>
            <w:tcW w:w="4600" w:type="dxa"/>
          </w:tcPr>
          <w:p>
            <w:pPr>
              <w:spacing w:after="140" w:line="276" w:lineRule="auto"/>
              <w:jc w:val="center"/>
            </w:pPr>
            <w:r>
              <w:rPr>
                <w:rFonts w:ascii="Calibri" w:hAnsi="Calibri"/>
                <w:sz w:val="21"/>
                <w:color w:val="1E293B"/>
                <w:b/>
              </w:rPr>
              <w:t xml:space="preserve">PIHAK KEDUA</w:t>
            </w:r>
          </w:p>
          <w:p>
            <w:pPr>
              <w:spacing w:after="140" w:line="276" w:lineRule="auto"/>
              <w:jc w:val="center"/>
            </w:pPr>
            <w:r>
              <w:rPr>
                <w:rFonts w:ascii="Calibri" w:hAnsi="Calibri"/>
                <w:sz w:val="20"/>
                <w:color w:val="1E293B"/>
                <w:b/>
              </w:rPr>
              <w:t xml:space="preserve">TIM PENGEMBANG SISTEM RAGI</w:t>
            </w:r>
          </w:p>
          <w:p>
            <w:pPr>
              <w:spacing w:after="400" w:line="276" w:lineRule="auto"/>
            </w:pPr>
          </w:p>
          <w:p>
            <w:pPr>
              <w:spacing w:after="140" w:line="276" w:lineRule="auto"/>
              <w:jc w:val="center"/>
            </w:pPr>
            <w:r>
              <w:rPr>
                <w:rFonts w:ascii="Calibri" w:hAnsi="Calibri"/>
                <w:sz w:val="18"/>
                <w:color w:val="64748B"/>
                <w:i/>
              </w:rPr>
              <w:t xml:space="preserve">(Meterai Rp 10.000 &amp; Stempel)</w:t>
            </w:r>
          </w:p>
          <w:p>
            <w:pPr>
              <w:spacing w:after="400" w:line="276" w:lineRule="auto"/>
            </w:pPr>
          </w:p>
          <w:p>
            <w:pPr>
              <w:spacing w:after="140" w:line="276" w:lineRule="auto"/>
              <w:jc w:val="center"/>
            </w:pPr>
            <w:r>
              <w:rPr>
                <w:rFonts w:ascii="Calibri" w:hAnsi="Calibri"/>
                <w:sz w:val="21"/>
                <w:color w:val="1E293B"/>
                <w:b/>
                <w:u w:val="single"/>
              </w:rPr>
              <w:t xml:space="preserve">[Nama Pimpinan Pengembang]</w:t>
            </w:r>
          </w:p>
          <w:p>
            <w:pPr>
              <w:spacing w:after="140" w:line="276" w:lineRule="auto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 xml:space="preserve">Lead Architect / Project Manager</w:t>
            </w:r>
          </w:p>
        </w:tc>
      </w:tr>
    </w:tbl>
    <w:p>
      <w:pPr>
        <w:spacing w:after="200" w:line="276" w:lineRule="auto"/>
      </w:pPr>
    </w:p>
    <w:p>
      <w:pPr>
        <w:pBdr>
          <w:bottom w:val="single" w:sz="12" w:space="8" w:color="0F172A"/>
        </w:pBdr>
        <w:spacing w:after="180"/>
      </w:pPr>
    </w:p>
    <w:p>
      <w:pPr>
        <w:spacing w:after="60" w:line="276" w:lineRule="auto"/>
        <w:jc w:val="center"/>
      </w:pPr>
      <w:r>
        <w:rPr>
          <w:rFonts w:ascii="Calibri" w:hAnsi="Calibri"/>
          <w:sz w:val="30"/>
          <w:color w:val="0F172A"/>
          <w:b/>
        </w:rPr>
        <w:t xml:space="preserve">LAMPIRAN I: SCOPE OF WORK (SoW) &amp; BATASAN FITUR PER MODUL</w:t>
      </w:r>
    </w:p>
    <w:p>
      <w:pPr>
        <w:spacing w:after="140" w:line="276" w:lineRule="auto"/>
      </w:pPr>
      <w:r>
        <w:rPr>
          <w:rFonts w:ascii="Calibri" w:hAnsi="Calibri"/>
          <w:sz w:val="20"/>
          <w:color w:val="1E293B"/>
          <w:i/>
        </w:rPr>
        <w:t xml:space="preserve">Dokumen ini merupakan satu kesatuan yang tidak terpisahkan dari Surat Perjanjian Kerja Sama Nomor: [Nomor PKS].</w:t>
      </w:r>
    </w:p>
    <w:tbl>
      <w:tblPr>
        <w:tblW w:w="9200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40" w:type="dxa"/>
          <w:left w:w="160" w:type="dxa"/>
          <w:bottom w:w="140" w:type="dxa"/>
          <w:right w:w="160" w:type="dxa"/>
        </w:tblCellMar>
      </w:tblPr>
      <w:tr>
        <w:trPr>
          <w:tblHeader/>
        </w:trPr>
        <w:tc>
          <w:tcPr>
            <w:tcW w:w="1800" w:type="dxa"/>
            <w:shd w:val="clear" w:color="auto" w:fill="F1F5F9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/>
                <w:sz w:val="20"/>
                <w:color w:val="0F172A"/>
                <w:b/>
              </w:rPr>
              <w:t xml:space="preserve">Modul</w:t>
            </w:r>
          </w:p>
        </w:tc>
        <w:tc>
          <w:tcPr>
            <w:tcW w:w="3700" w:type="dxa"/>
            <w:shd w:val="clear" w:color="auto" w:fill="F1F5F9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/>
                <w:sz w:val="20"/>
                <w:color w:val="0F172A"/>
                <w:b/>
              </w:rPr>
              <w:t xml:space="preserve">Fitur yang Dikerjakan (In-Scope)</w:t>
            </w:r>
          </w:p>
        </w:tc>
        <w:tc>
          <w:tcPr>
            <w:tcW w:w="3700" w:type="dxa"/>
            <w:shd w:val="clear" w:color="auto" w:fill="F1F5F9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/>
                <w:sz w:val="20"/>
                <w:color w:val="0F172A"/>
                <w:b/>
              </w:rPr>
              <w:t xml:space="preserve">Batasan Tegas (Out-of-Scope / Tidak Termasuk)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1. SSO &amp; IAM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(Master Akses)</w:t>
            </w:r>
          </w:p>
        </w:tc>
        <w:tc>
          <w:tcPr>
            <w:tcW w:w="3700" w:type="dxa"/>
            <w:shd w:val="clear" w:color="auto" w:fill="FFFFFF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Autentikasi Single Sign-On terpusat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Manajemen Pengguna multi-role (RBAC dinamis)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Switcher navigasi modul terpadu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Audit trail log aktivitas user</w:t>
            </w:r>
          </w:p>
        </w:tc>
        <w:tc>
          <w:tcPr>
            <w:tcW w:w="3700" w:type="dxa"/>
            <w:shd w:val="clear" w:color="auto" w:fill="FFFFFF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Integrasi Active Directory/LDAP lama non-REST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Biometrik wajah/fingerprint login perangkat keras eksternal</w:t>
            </w:r>
          </w:p>
        </w:tc>
      </w:tr>
      <w:tr>
        <w:tc>
          <w:tcPr>
            <w:tcW w:w="1800" w:type="dxa"/>
            <w:shd w:val="clear" w:color="auto" w:fill="F8FAFC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2. SIMPEG &amp; Payroll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(Kepegawaian)</w:t>
            </w:r>
          </w:p>
        </w:tc>
        <w:tc>
          <w:tcPr>
            <w:tcW w:w="3700" w:type="dxa"/>
            <w:shd w:val="clear" w:color="auto" w:fill="F8FAFC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Master Pegawai, Dosen, Tendik, NIP/NIDN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Presensi GPS/Geolokasi &amp; Shift kerja dinamis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Bundling presensi cut-off bulanan (siklus 26-25)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Otomasi perhitungan gaji (gaji pokok, tunjangan, insentif hadir, potongan PPh/BPJS)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Cetak dokumen resmi Slip Gaji A4 (PDF)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Integrasi antrean pengajuan penggajian ke SIKEU</w:t>
            </w:r>
          </w:p>
        </w:tc>
        <w:tc>
          <w:tcPr>
            <w:tcW w:w="3700" w:type="dxa"/>
            <w:shd w:val="clear" w:color="auto" w:fill="F8FAFC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Integrasi hardware mesin absen sidik jari direct-socket tanpa API (hanya terima input via API / CSV)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Perhitungan pajak korporasi kompleks di luar skema PPh 21 standar pegawai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3. SIKEU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(Keuangan &amp; Kas)</w:t>
            </w:r>
          </w:p>
        </w:tc>
        <w:tc>
          <w:tcPr>
            <w:tcW w:w="3700" w:type="dxa"/>
            <w:shd w:val="clear" w:color="auto" w:fill="FFFFFF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Bagan Akun Standar (Chart of Accounts / CoA)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Pengelolaan Kas &amp; Rekening Bank Kampus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Pengajuan Pencairan Kas Operasional bertingkat (Approval multi-role)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Penerimaan otomatis batch payroll dari SIMPEG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Pembukuan Jurnal Umum Otomatis seimbang (Debet-Kredit)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Laporan realisasi kas &amp; neraca saldo standar</w:t>
            </w:r>
          </w:p>
        </w:tc>
        <w:tc>
          <w:tcPr>
            <w:tcW w:w="3700" w:type="dxa"/>
            <w:shd w:val="clear" w:color="auto" w:fill="FFFFFF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Sambungan langsung host-to-host (H2H) Core Banking yang membutuhkan lisensi perbankan khusus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Rekonsiliasi mutasi bank otomatis tanpa API penyedia perbankan</w:t>
            </w:r>
          </w:p>
        </w:tc>
      </w:tr>
      <w:tr>
        <w:tc>
          <w:tcPr>
            <w:tcW w:w="1800" w:type="dxa"/>
            <w:shd w:val="clear" w:color="auto" w:fill="F8FAFC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4. SIAKAD &amp; OBE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(Akademik)</w:t>
            </w:r>
          </w:p>
        </w:tc>
        <w:tc>
          <w:tcPr>
            <w:tcW w:w="3700" w:type="dxa"/>
            <w:shd w:val="clear" w:color="auto" w:fill="F8FAFC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Master Prodi, Dosen Wali, Mahasiswa, Angkatan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Rencana Pembelajaran Semester (RPS) berbasis OBE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Pengisian KRS Online &amp; Pembimbingan Dosen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Input &amp; Validasi Nilai Mutu Dosen (A-E)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Cetak KHS &amp; Transkrip Akademik Sementara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Monitoring pemetaan CPL &amp; ketercapaian OBE</w:t>
            </w:r>
          </w:p>
        </w:tc>
        <w:tc>
          <w:tcPr>
            <w:tcW w:w="3700" w:type="dxa"/>
            <w:shd w:val="clear" w:color="auto" w:fill="F8FAFC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Integrasi otomatis feeder PD-DIKTI secara mandiri tanpa kredensial resmi Neo Feeder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Modul ujian CBT online berbasis pengawasan video/AI proctoring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5. SPMB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(Admisi Mhs Baru)</w:t>
            </w:r>
          </w:p>
        </w:tc>
        <w:tc>
          <w:tcPr>
            <w:tcW w:w="3700" w:type="dxa"/>
            <w:shd w:val="clear" w:color="auto" w:fill="FFFFFF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Pendaftaran online calon mahasiswa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Pilihan Jalur Masuk &amp; Program Studi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Upload &amp; Verifikasi berkas administrasi digital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Validasi pembayaran formulir pendaftaran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Pengumuman kelulusan berkas &amp; Nomor Registrasi</w:t>
            </w:r>
          </w:p>
        </w:tc>
        <w:tc>
          <w:tcPr>
            <w:tcW w:w="3700" w:type="dxa"/>
            <w:shd w:val="clear" w:color="auto" w:fill="FFFFFF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Dilarang Ujian Tulis / Ujian CBT (sistem admisi murni seleksi berkas/administrasi sesuai regulasi internal kampus)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Fitur tes wawancara video call live internal aplikasi</w:t>
            </w:r>
          </w:p>
        </w:tc>
      </w:tr>
      <w:tr>
        <w:tc>
          <w:tcPr>
            <w:tcW w:w="1800" w:type="dxa"/>
            <w:shd w:val="clear" w:color="auto" w:fill="F8FAFC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6. SINAPRA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(Sarpras &amp; Aset)</w:t>
            </w:r>
          </w:p>
        </w:tc>
        <w:tc>
          <w:tcPr>
            <w:tcW w:w="3700" w:type="dxa"/>
            <w:shd w:val="clear" w:color="auto" w:fill="F8FAFC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Pendataan Master Aset Kampus &amp; Ruangan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Modul pengajuan peminjaman ruangan &amp; aset inventaris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Cetak Surat Izin / Bukti Peminjaman A4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Status pengembalian &amp; kondisi fisik barang</w:t>
            </w:r>
          </w:p>
        </w:tc>
        <w:tc>
          <w:tcPr>
            <w:tcW w:w="3700" w:type="dxa"/>
            <w:shd w:val="clear" w:color="auto" w:fill="F8FAFC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Tracking GPS IoT fisik pada inventaris barang bergerak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Depresiasi akuntansi aset tetap kompleks multi-metode</w:t>
            </w:r>
          </w:p>
        </w:tc>
      </w:tr>
    </w:tbl>
    <w:p>
      <w:pPr>
        <w:spacing w:after="120" w:line="276" w:lineRule="auto"/>
      </w:pPr>
    </w:p>
    <w:p>
      <w:pPr>
        <w:spacing w:after="100" w:line="276" w:lineRule="auto"/>
        <w:jc w:val="left"/>
      </w:pPr>
      <w:r>
        <w:rPr>
          <w:rFonts w:ascii="Calibri" w:hAnsi="Calibri"/>
          <w:sz w:val="23"/>
          <w:color w:val="0F172A"/>
          <w:b/>
        </w:rPr>
        <w:t xml:space="preserve">ATURAN PENGAMAN PERUBAHAN FITUR (CHANGE REQUEST)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1. Setiap permintaan modifikasi yang tidak terdaftar dalam kolom In-Scope di atas dianggap sebagai </w:t>
      </w:r>
      <w:r>
        <w:rPr>
          <w:rFonts w:ascii="Calibri" w:hAnsi="Calibri"/>
          <w:sz w:val="22"/>
          <w:color w:val="1E293B"/>
          <w:b/>
        </w:rPr>
        <w:t xml:space="preserve">Change Request (CR)</w:t>
      </w:r>
      <w:r>
        <w:rPr>
          <w:rFonts w:ascii="Calibri" w:hAnsi="Calibri"/>
          <w:sz w:val="22"/>
          <w:color w:val="1E293B"/>
        </w:rPr>
        <w:t xml:space="preserve">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2. Alur pengajuan CR: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   a. PIHAK PERTAMA mengisi Formulir Permintaan Perubahan resmi.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   b. PIHAK KEDUA mengkaji kelayakan teknis dan memberikan estimasi *man-days* (Rp [Nominal]/hari kerja) serta estimasi dampak waktu penyerahan.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   c. Jika disetujui PIHAK PERTAMA, pekerjaan CR dituangkan dalam Addendum Kontrak.</w:t>
      </w:r>
    </w:p>
    <w:p>
      <w:pPr>
        <w:pBdr>
          <w:bottom w:val="single" w:sz="12" w:space="8" w:color="0F172A"/>
        </w:pBdr>
        <w:spacing w:after="180"/>
      </w:pPr>
    </w:p>
    <w:p>
      <w:pPr>
        <w:spacing w:after="60" w:line="276" w:lineRule="auto"/>
        <w:jc w:val="center"/>
      </w:pPr>
      <w:r>
        <w:rPr>
          <w:rFonts w:ascii="Calibri" w:hAnsi="Calibri"/>
          <w:sz w:val="30"/>
          <w:color w:val="0F172A"/>
          <w:b/>
        </w:rPr>
        <w:t xml:space="preserve">LAMPIRAN II: JADWAL MILESTONE &amp; TERM OF PAYMENT (ToP)</w:t>
      </w:r>
    </w:p>
    <w:p>
      <w:pPr>
        <w:spacing w:after="140" w:line="276" w:lineRule="auto"/>
      </w:pPr>
      <w:r>
        <w:rPr>
          <w:rFonts w:ascii="Calibri" w:hAnsi="Calibri"/>
          <w:sz w:val="20"/>
          <w:color w:val="1E293B"/>
          <w:i/>
        </w:rPr>
        <w:t xml:space="preserve">Ketentuan tahapan pengerjaan dan pembayaran berdasarkan capaian penyelesaian pekerjaan:</w:t>
      </w:r>
    </w:p>
    <w:tbl>
      <w:tblPr>
        <w:tblW w:w="9200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40" w:type="dxa"/>
          <w:left w:w="160" w:type="dxa"/>
          <w:bottom w:w="140" w:type="dxa"/>
          <w:right w:w="160" w:type="dxa"/>
        </w:tblCellMar>
      </w:tblPr>
      <w:tr>
        <w:trPr>
          <w:tblHeader/>
        </w:trPr>
        <w:tc>
          <w:tcPr>
            <w:tcW w:w="1000" w:type="dxa"/>
            <w:shd w:val="clear" w:color="auto" w:fill="F1F5F9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/>
                <w:sz w:val="20"/>
                <w:color w:val="0F172A"/>
                <w:b/>
              </w:rPr>
              <w:t xml:space="preserve">Tahap</w:t>
            </w:r>
          </w:p>
        </w:tc>
        <w:tc>
          <w:tcPr>
            <w:tcW w:w="3100" w:type="dxa"/>
            <w:shd w:val="clear" w:color="auto" w:fill="F1F5F9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/>
                <w:sz w:val="20"/>
                <w:color w:val="0F172A"/>
                <w:b/>
              </w:rPr>
              <w:t xml:space="preserve">Uraian Milestone Pekerjaan</w:t>
            </w:r>
          </w:p>
        </w:tc>
        <w:tc>
          <w:tcPr>
            <w:tcW w:w="1100" w:type="dxa"/>
            <w:shd w:val="clear" w:color="auto" w:fill="F1F5F9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/>
                <w:sz w:val="20"/>
                <w:color w:val="0F172A"/>
                <w:b/>
              </w:rPr>
              <w:t xml:space="preserve">Target Waktu</w:t>
            </w:r>
          </w:p>
        </w:tc>
        <w:tc>
          <w:tcPr>
            <w:tcW w:w="700" w:type="dxa"/>
            <w:shd w:val="clear" w:color="auto" w:fill="F1F5F9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/>
                <w:sz w:val="20"/>
                <w:color w:val="0F172A"/>
                <w:b/>
              </w:rPr>
              <w:t xml:space="preserve">Bobot</w:t>
            </w:r>
          </w:p>
        </w:tc>
        <w:tc>
          <w:tcPr>
            <w:tcW w:w="1600" w:type="dxa"/>
            <w:shd w:val="clear" w:color="auto" w:fill="F1F5F9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/>
                <w:sz w:val="20"/>
                <w:color w:val="0F172A"/>
                <w:b/>
              </w:rPr>
              <w:t xml:space="preserve">Nilai Pembayaran (Rp)</w:t>
            </w:r>
          </w:p>
        </w:tc>
        <w:tc>
          <w:tcPr>
            <w:tcW w:w="1700" w:type="dxa"/>
            <w:shd w:val="clear" w:color="auto" w:fill="F1F5F9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/>
                <w:sz w:val="20"/>
                <w:color w:val="0F172A"/>
                <w:b/>
              </w:rPr>
              <w:t xml:space="preserve">Dokumen Syarat Cair</w:t>
            </w:r>
          </w:p>
        </w:tc>
      </w:tr>
      <w:tr>
        <w:tc>
          <w:tcPr>
            <w:tcW w:w="1000" w:type="dxa"/>
            <w:shd w:val="clear" w:color="auto" w:fill="FFFFFF"/>
          </w:tcPr>
          <w:p>
            <w:pPr>
              <w:spacing w:after="30" w:line="276" w:lineRule="auto"/>
              <w:jc w:val="center"/>
            </w:pPr>
            <w:r>
              <w:rPr>
                <w:rFonts w:ascii="Calibri" w:hAnsi="Calibri"/>
                <w:sz w:val="19"/>
                <w:color w:val="1E293B"/>
                <w:b/>
              </w:rPr>
              <w:t xml:space="preserve">Termin 1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Uang Muka (DP) &amp; System Architecture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Penandatanganan PKS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Konfigurasi Database &amp; Hosting Server Kampus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Setup Framework &amp; Master SSO/IAM</w:t>
            </w:r>
          </w:p>
        </w:tc>
        <w:tc>
          <w:tcPr>
            <w:tcW w:w="1100" w:type="dxa"/>
            <w:shd w:val="clear" w:color="auto" w:fill="FFFFFF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Minggu 1 – 2</w:t>
            </w:r>
          </w:p>
        </w:tc>
        <w:tc>
          <w:tcPr>
            <w:tcW w:w="700" w:type="dxa"/>
            <w:shd w:val="clear" w:color="auto" w:fill="FFFFFF"/>
          </w:tcPr>
          <w:p>
            <w:pPr>
              <w:spacing w:after="30" w:line="276" w:lineRule="auto"/>
              <w:jc w:val="center"/>
            </w:pPr>
            <w:r>
              <w:rPr>
                <w:rFonts w:ascii="Calibri" w:hAnsi="Calibri"/>
                <w:sz w:val="19"/>
                <w:color w:val="1E293B"/>
              </w:rPr>
              <w:t xml:space="preserve">25%</w:t>
            </w:r>
          </w:p>
        </w:tc>
        <w:tc>
          <w:tcPr>
            <w:tcW w:w="1600" w:type="dxa"/>
            <w:shd w:val="clear" w:color="auto" w:fill="FFFFFF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Rp ........................</w:t>
            </w:r>
          </w:p>
        </w:tc>
        <w:tc>
          <w:tcPr>
            <w:tcW w:w="1700" w:type="dxa"/>
            <w:shd w:val="clear" w:color="auto" w:fill="FFFFFF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Invoice DP + Salinan PKS</w:t>
            </w:r>
          </w:p>
        </w:tc>
      </w:tr>
      <w:tr>
        <w:tc>
          <w:tcPr>
            <w:tcW w:w="1000" w:type="dxa"/>
            <w:shd w:val="clear" w:color="auto" w:fill="F8FAFC"/>
          </w:tcPr>
          <w:p>
            <w:pPr>
              <w:spacing w:after="30" w:line="276" w:lineRule="auto"/>
              <w:jc w:val="center"/>
            </w:pPr>
            <w:r>
              <w:rPr>
                <w:rFonts w:ascii="Calibri" w:hAnsi="Calibri"/>
                <w:sz w:val="19"/>
                <w:color w:val="1E293B"/>
                <w:b/>
              </w:rPr>
              <w:t xml:space="preserve">Termin 2</w:t>
            </w:r>
          </w:p>
        </w:tc>
        <w:tc>
          <w:tcPr>
            <w:tcW w:w="3100" w:type="dxa"/>
            <w:shd w:val="clear" w:color="auto" w:fill="F8FAFC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Modul SIMPEG &amp; Payroll Terpadu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Migrasi Master Data Pegawai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Modul Presensi Shift &amp; Bundling Bulanan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Fitur Perhitungan Gaji &amp; Cetak Slip Gaji PDF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UAT Parsial SIMPEG</w:t>
            </w:r>
          </w:p>
        </w:tc>
        <w:tc>
          <w:tcPr>
            <w:tcW w:w="1100" w:type="dxa"/>
            <w:shd w:val="clear" w:color="auto" w:fill="F8FAFC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Minggu 3 – 5</w:t>
            </w:r>
          </w:p>
        </w:tc>
        <w:tc>
          <w:tcPr>
            <w:tcW w:w="700" w:type="dxa"/>
            <w:shd w:val="clear" w:color="auto" w:fill="F8FAFC"/>
          </w:tcPr>
          <w:p>
            <w:pPr>
              <w:spacing w:after="30" w:line="276" w:lineRule="auto"/>
              <w:jc w:val="center"/>
            </w:pPr>
            <w:r>
              <w:rPr>
                <w:rFonts w:ascii="Calibri" w:hAnsi="Calibri"/>
                <w:sz w:val="19"/>
                <w:color w:val="1E293B"/>
              </w:rPr>
              <w:t xml:space="preserve">25%</w:t>
            </w:r>
          </w:p>
        </w:tc>
        <w:tc>
          <w:tcPr>
            <w:tcW w:w="1600" w:type="dxa"/>
            <w:shd w:val="clear" w:color="auto" w:fill="F8FAFC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Rp ........................</w:t>
            </w:r>
          </w:p>
        </w:tc>
        <w:tc>
          <w:tcPr>
            <w:tcW w:w="1700" w:type="dxa"/>
            <w:shd w:val="clear" w:color="auto" w:fill="F8FAFC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BAST Tahap I + Invoice Termin 2</w:t>
            </w:r>
          </w:p>
        </w:tc>
      </w:tr>
      <w:tr>
        <w:tc>
          <w:tcPr>
            <w:tcW w:w="1000" w:type="dxa"/>
            <w:shd w:val="clear" w:color="auto" w:fill="FFFFFF"/>
          </w:tcPr>
          <w:p>
            <w:pPr>
              <w:spacing w:after="30" w:line="276" w:lineRule="auto"/>
              <w:jc w:val="center"/>
            </w:pPr>
            <w:r>
              <w:rPr>
                <w:rFonts w:ascii="Calibri" w:hAnsi="Calibri"/>
                <w:sz w:val="19"/>
                <w:color w:val="1E293B"/>
                <w:b/>
              </w:rPr>
              <w:t xml:space="preserve">Termin 3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Modul SIKEU &amp; Otomasi Akuntansi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Setup Bagan Akun (CoA) &amp; Kas Kampus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Workflow Pengajuan &amp; Pencairan Operasional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Integrasi Penggajian SIMPEG -&gt; SIKEU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Jurnal Otomatis Pembayaran Gaji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UAT Parsial SIKEU</w:t>
            </w:r>
          </w:p>
        </w:tc>
        <w:tc>
          <w:tcPr>
            <w:tcW w:w="1100" w:type="dxa"/>
            <w:shd w:val="clear" w:color="auto" w:fill="FFFFFF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Minggu 6 – 8</w:t>
            </w:r>
          </w:p>
        </w:tc>
        <w:tc>
          <w:tcPr>
            <w:tcW w:w="700" w:type="dxa"/>
            <w:shd w:val="clear" w:color="auto" w:fill="FFFFFF"/>
          </w:tcPr>
          <w:p>
            <w:pPr>
              <w:spacing w:after="30" w:line="276" w:lineRule="auto"/>
              <w:jc w:val="center"/>
            </w:pPr>
            <w:r>
              <w:rPr>
                <w:rFonts w:ascii="Calibri" w:hAnsi="Calibri"/>
                <w:sz w:val="19"/>
                <w:color w:val="1E293B"/>
              </w:rPr>
              <w:t xml:space="preserve">25%</w:t>
            </w:r>
          </w:p>
        </w:tc>
        <w:tc>
          <w:tcPr>
            <w:tcW w:w="1600" w:type="dxa"/>
            <w:shd w:val="clear" w:color="auto" w:fill="FFFFFF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Rp ........................</w:t>
            </w:r>
          </w:p>
        </w:tc>
        <w:tc>
          <w:tcPr>
            <w:tcW w:w="1700" w:type="dxa"/>
            <w:shd w:val="clear" w:color="auto" w:fill="FFFFFF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BAST Tahap II + Invoice Termin 3</w:t>
            </w:r>
          </w:p>
        </w:tc>
      </w:tr>
      <w:tr>
        <w:tc>
          <w:tcPr>
            <w:tcW w:w="1000" w:type="dxa"/>
            <w:shd w:val="clear" w:color="auto" w:fill="F8FAFC"/>
          </w:tcPr>
          <w:p>
            <w:pPr>
              <w:spacing w:after="30" w:line="276" w:lineRule="auto"/>
              <w:jc w:val="center"/>
            </w:pPr>
            <w:r>
              <w:rPr>
                <w:rFonts w:ascii="Calibri" w:hAnsi="Calibri"/>
                <w:sz w:val="19"/>
                <w:color w:val="1E293B"/>
                <w:b/>
              </w:rPr>
              <w:t xml:space="preserve">Termin 4</w:t>
            </w:r>
          </w:p>
        </w:tc>
        <w:tc>
          <w:tcPr>
            <w:tcW w:w="3100" w:type="dxa"/>
            <w:shd w:val="clear" w:color="auto" w:fill="F8FAFC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Penyelesaian Sistem, SIAKAD, SPMB, SINAPRA &amp; Go-Live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Integrasi Modul Akademik &amp; OBE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Integrasi SPMB Jalur Berkas &amp; Aset Sinapra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UAT Menyeluruh (End-to-End)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Pelatihan (Training) Admin &amp; Operator Kampus</w:t>
            </w:r>
          </w:p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• Serah Terima Sistem &amp; Resmi Go-Live</w:t>
            </w:r>
          </w:p>
        </w:tc>
        <w:tc>
          <w:tcPr>
            <w:tcW w:w="1100" w:type="dxa"/>
            <w:shd w:val="clear" w:color="auto" w:fill="F8FAFC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Minggu 9 – 12</w:t>
            </w:r>
          </w:p>
        </w:tc>
        <w:tc>
          <w:tcPr>
            <w:tcW w:w="700" w:type="dxa"/>
            <w:shd w:val="clear" w:color="auto" w:fill="F8FAFC"/>
          </w:tcPr>
          <w:p>
            <w:pPr>
              <w:spacing w:after="30" w:line="276" w:lineRule="auto"/>
              <w:jc w:val="center"/>
            </w:pPr>
            <w:r>
              <w:rPr>
                <w:rFonts w:ascii="Calibri" w:hAnsi="Calibri"/>
                <w:sz w:val="19"/>
                <w:color w:val="1E293B"/>
              </w:rPr>
              <w:t xml:space="preserve">25%</w:t>
            </w:r>
          </w:p>
        </w:tc>
        <w:tc>
          <w:tcPr>
            <w:tcW w:w="1600" w:type="dxa"/>
            <w:shd w:val="clear" w:color="auto" w:fill="F8FAFC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Rp ........................</w:t>
            </w:r>
          </w:p>
        </w:tc>
        <w:tc>
          <w:tcPr>
            <w:tcW w:w="1700" w:type="dxa"/>
            <w:shd w:val="clear" w:color="auto" w:fill="F8FAFC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BAST Final + Invoice Termin 4</w:t>
            </w:r>
          </w:p>
        </w:tc>
      </w:tr>
      <w:tr>
        <w:tc>
          <w:tcPr>
            <w:tcW w:w="1000" w:type="dxa"/>
            <w:shd w:val="clear" w:color="auto" w:fill="FFFFFF"/>
          </w:tcPr>
          <w:p>
            <w:pPr>
              <w:spacing w:after="30" w:line="276" w:lineRule="auto"/>
              <w:jc w:val="center"/>
            </w:pPr>
            <w:r>
              <w:rPr>
                <w:rFonts w:ascii="Calibri" w:hAnsi="Calibri"/>
                <w:sz w:val="19"/>
                <w:color w:val="1E293B"/>
                <w:b/>
              </w:rPr>
              <w:t xml:space="preserve">TOTAL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PENYELESAIAN SELURUH SISTEM RAGI</w:t>
            </w:r>
          </w:p>
        </w:tc>
        <w:tc>
          <w:tcPr>
            <w:tcW w:w="1100" w:type="dxa"/>
            <w:shd w:val="clear" w:color="auto" w:fill="FFFFFF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12 Minggu</w:t>
            </w:r>
          </w:p>
        </w:tc>
        <w:tc>
          <w:tcPr>
            <w:tcW w:w="700" w:type="dxa"/>
            <w:shd w:val="clear" w:color="auto" w:fill="FFFFFF"/>
          </w:tcPr>
          <w:p>
            <w:pPr>
              <w:spacing w:after="30" w:line="276" w:lineRule="auto"/>
              <w:jc w:val="center"/>
            </w:pPr>
            <w:r>
              <w:rPr>
                <w:rFonts w:ascii="Calibri" w:hAnsi="Calibri"/>
                <w:sz w:val="19"/>
                <w:color w:val="1E293B"/>
              </w:rPr>
              <w:t xml:space="preserve">100%</w:t>
            </w:r>
          </w:p>
        </w:tc>
        <w:tc>
          <w:tcPr>
            <w:tcW w:w="1600" w:type="dxa"/>
            <w:shd w:val="clear" w:color="auto" w:fill="FFFFFF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Rp ........................</w:t>
            </w:r>
          </w:p>
        </w:tc>
        <w:tc>
          <w:tcPr>
            <w:tcW w:w="1700" w:type="dxa"/>
            <w:shd w:val="clear" w:color="auto" w:fill="FFFFFF"/>
          </w:tcPr>
          <w:p>
            <w:pPr>
              <w:spacing w:after="30" w:line="276" w:lineRule="auto"/>
              <w:jc w:val="left"/>
            </w:pPr>
            <w:r>
              <w:rPr>
                <w:rFonts w:ascii="Calibri" w:hAnsi="Calibri"/>
                <w:sz w:val="19"/>
                <w:color w:val="1E293B"/>
              </w:rPr>
              <w:t xml:space="preserve">-</w:t>
            </w:r>
          </w:p>
        </w:tc>
      </w:tr>
    </w:tbl>
    <w:p>
      <w:pPr>
        <w:spacing w:after="120" w:line="276" w:lineRule="auto"/>
      </w:pPr>
    </w:p>
    <w:p>
      <w:pPr>
        <w:pBdr>
          <w:bottom w:val="single" w:sz="12" w:space="8" w:color="0F172A"/>
        </w:pBdr>
        <w:spacing w:after="180"/>
      </w:pPr>
    </w:p>
    <w:p>
      <w:pPr>
        <w:spacing w:after="60" w:line="276" w:lineRule="auto"/>
        <w:jc w:val="center"/>
      </w:pPr>
      <w:r>
        <w:rPr>
          <w:rFonts w:ascii="Calibri" w:hAnsi="Calibri"/>
          <w:sz w:val="30"/>
          <w:color w:val="0F172A"/>
          <w:b/>
        </w:rPr>
        <w:t xml:space="preserve">LAMPIRAN III: SERVICE LEVEL AGREEMENT (SLA) &amp; GARANSI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1. </w:t>
      </w:r>
      <w:r>
        <w:rPr>
          <w:rFonts w:ascii="Calibri" w:hAnsi="Calibri"/>
          <w:sz w:val="22"/>
          <w:color w:val="1E293B"/>
          <w:b/>
        </w:rPr>
        <w:t xml:space="preserve">Periode Garansi:</w:t>
      </w:r>
      <w:r>
        <w:rPr>
          <w:rFonts w:ascii="Calibri" w:hAnsi="Calibri"/>
          <w:sz w:val="22"/>
          <w:color w:val="1E293B"/>
        </w:rPr>
        <w:t xml:space="preserve"> 3 (Tiga) Bulan kalender terhitung sejak tanggal BAST Final.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2. </w:t>
      </w:r>
      <w:r>
        <w:rPr>
          <w:rFonts w:ascii="Calibri" w:hAnsi="Calibri"/>
          <w:sz w:val="22"/>
          <w:color w:val="1E293B"/>
          <w:b/>
        </w:rPr>
        <w:t xml:space="preserve">Kategori Penanganan Insiden / Bug: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   • </w:t>
      </w:r>
      <w:r>
        <w:rPr>
          <w:rFonts w:ascii="Calibri" w:hAnsi="Calibri"/>
          <w:sz w:val="22"/>
          <w:color w:val="1E293B"/>
          <w:b/>
        </w:rPr>
        <w:t xml:space="preserve">Kritis (Severity 1):</w:t>
      </w:r>
      <w:r>
        <w:rPr>
          <w:rFonts w:ascii="Calibri" w:hAnsi="Calibri"/>
          <w:sz w:val="22"/>
          <w:color w:val="1E293B"/>
        </w:rPr>
        <w:t xml:space="preserve"> Sistem mati (*down*), transaksi keuangan/payroll terkunci total, atau kebocoran data. Waktu Respons: Maksimal 2 Jam. Target Solusi: 1x24 Jam.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   • </w:t>
      </w:r>
      <w:r>
        <w:rPr>
          <w:rFonts w:ascii="Calibri" w:hAnsi="Calibri"/>
          <w:sz w:val="22"/>
          <w:color w:val="1E293B"/>
          <w:b/>
        </w:rPr>
        <w:t xml:space="preserve">Sedang (Severity 2):</w:t>
      </w:r>
      <w:r>
        <w:rPr>
          <w:rFonts w:ascii="Calibri" w:hAnsi="Calibri"/>
          <w:sz w:val="22"/>
          <w:color w:val="1E293B"/>
        </w:rPr>
        <w:t xml:space="preserve"> Fitur tertentu tidak berfungsi tetapi proses bisnis utama kampus masih berjalan normal. Waktu Respons: Maksimal 6 Jam. Target Solusi: 2x24 Jam.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   • </w:t>
      </w:r>
      <w:r>
        <w:rPr>
          <w:rFonts w:ascii="Calibri" w:hAnsi="Calibri"/>
          <w:sz w:val="22"/>
          <w:color w:val="1E293B"/>
          <w:b/>
        </w:rPr>
        <w:t xml:space="preserve">Minor (Severity 3):</w:t>
      </w:r>
      <w:r>
        <w:rPr>
          <w:rFonts w:ascii="Calibri" w:hAnsi="Calibri"/>
          <w:sz w:val="22"/>
          <w:color w:val="1E293B"/>
        </w:rPr>
        <w:t xml:space="preserve"> Kesalahan teks, salah penataan tampilan (*glitch styling*), atau pertanyaan operasional. Waktu Respons: 1x24 Jam pada jam kerja operasional (08.00 - 17.00 WIB).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3. </w:t>
      </w:r>
      <w:r>
        <w:rPr>
          <w:rFonts w:ascii="Calibri" w:hAnsi="Calibri"/>
          <w:sz w:val="22"/>
          <w:color w:val="1E293B"/>
          <w:b/>
        </w:rPr>
        <w:t xml:space="preserve">Saluran Dukungan Resmi: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   • Grup Koordinasi Teknis (WhatsApp Tim Pengembang &amp; Tim IT Kampus)</w:t>
      </w:r>
    </w:p>
    <w:p>
      <w:pPr>
        <w:spacing w:after="140" w:line="276" w:lineRule="auto"/>
      </w:pPr>
      <w:r>
        <w:rPr>
          <w:rFonts w:ascii="Calibri" w:hAnsi="Calibri"/>
          <w:sz w:val="22"/>
          <w:color w:val="1E293B"/>
        </w:rPr>
        <w:t xml:space="preserve">   • Email Resmi Helpdesk: [email@pengembang.com]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1E293B"/>
      </w:rPr>
    </w:rPrDefault>
    <w:pPrDefault>
      <w:pPr>
        <w:spacing w:after="14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