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mbria" w:hAnsi="Cambria"/>
          <w:b/>
          <w:sz w:val="24"/>
        </w:rPr>
        <w:t>SURAT PERNYATAAN TANGGUNGJAWAB MUTLAK (SPTJM)</w:t>
      </w:r>
    </w:p>
    <w:p>
      <w:pPr>
        <w:spacing w:before="0" w:after="0" w:line="240" w:lineRule="auto"/>
        <w:jc w:val="center"/>
      </w:pPr>
      <w:r>
        <w:rPr>
          <w:rFonts w:ascii="Cambria" w:hAnsi="Cambria"/>
          <w:b/>
          <w:sz w:val="24"/>
        </w:rPr>
        <w:t>Biaya Subimt Artikel/Insentif Publikasi/Opini Media Massa/Hak Kekayaan Intelektual</w:t>
      </w:r>
    </w:p>
    <w:p/>
    <w:p>
      <w:pPr>
        <w:spacing w:before="0" w:after="0" w:line="240" w:lineRule="auto"/>
        <w:jc w:val="left"/>
      </w:pPr>
      <w:r>
        <w:rPr>
          <w:rFonts w:ascii="Cambria" w:hAnsi="Cambria"/>
          <w:b w:val="0"/>
          <w:sz w:val="22"/>
        </w:rPr>
        <w:t>Yang bertanda tangan di bawah ini: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5102"/>
      </w:tblGrid>
      <w:tr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Cambria" w:hAnsi="Cambria"/>
                <w:b w:val="0"/>
                <w:sz w:val="22"/>
              </w:rPr>
              <w:t>Nama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Cambria" w:hAnsi="Cambria"/>
                <w:b w:val="0"/>
                <w:sz w:val="22"/>
              </w:rPr>
              <w:t>: Maya Fitria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Cambria" w:hAnsi="Cambria"/>
                <w:b w:val="0"/>
                <w:sz w:val="22"/>
              </w:rPr>
              <w:t>NIP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Cambria" w:hAnsi="Cambria"/>
                <w:b w:val="0"/>
                <w:sz w:val="22"/>
              </w:rPr>
              <w:t>: 199005012019032020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Cambria" w:hAnsi="Cambria"/>
                <w:b w:val="0"/>
                <w:sz w:val="22"/>
              </w:rPr>
              <w:t>Fakultas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Cambria" w:hAnsi="Cambria"/>
                <w:b w:val="0"/>
                <w:sz w:val="22"/>
              </w:rPr>
              <w:t>: Teknik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Cambria" w:hAnsi="Cambria"/>
                <w:b w:val="0"/>
                <w:sz w:val="22"/>
              </w:rPr>
              <w:t>Nomor Rekening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Cambria" w:hAnsi="Cambria"/>
                <w:b w:val="0"/>
                <w:sz w:val="22"/>
              </w:rPr>
              <w:t>: 7147552453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Cambria" w:hAnsi="Cambria"/>
                <w:b w:val="0"/>
                <w:sz w:val="22"/>
              </w:rPr>
              <w:t>Nama Bank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Cambria" w:hAnsi="Cambria"/>
                <w:b w:val="0"/>
                <w:sz w:val="22"/>
              </w:rPr>
              <w:t>: Bank Syariah Indonesia</w:t>
            </w:r>
          </w:p>
        </w:tc>
      </w:tr>
    </w:tbl>
    <w:p/>
    <w:p>
      <w:pPr>
        <w:spacing w:before="0" w:after="0" w:line="240" w:lineRule="auto"/>
        <w:jc w:val="left"/>
      </w:pPr>
      <w:r>
        <w:rPr>
          <w:rFonts w:ascii="Cambria" w:hAnsi="Cambria"/>
          <w:b w:val="0"/>
          <w:sz w:val="22"/>
        </w:rPr>
        <w:t>Menyatakan dengan sesungguhnya bahwa:</w:t>
      </w:r>
    </w:p>
    <w:p>
      <w:pPr>
        <w:spacing w:before="0" w:after="0" w:line="240" w:lineRule="auto"/>
        <w:jc w:val="both"/>
      </w:pPr>
      <w:r>
        <w:rPr>
          <w:rFonts w:ascii="Cambria" w:hAnsi="Cambria"/>
          <w:b w:val="0"/>
          <w:sz w:val="22"/>
        </w:rPr>
        <w:t>1. Biaya Submit Artikel yang saya ajukan seperti yang tersebut pada lampiran belum pernah saya pertanggungjawabkan pada penelitian yang telah dilaksanakan, atau belum pernah menerima bantuan publikasi dari pihak/sumber dana lainnya, dan jika di kemudian hari terbukti bahwa biaya submit artikel yang saya ajukan telah pernah menerima bantuan publikasi dari pihak/sumber dana lainnya, maka saya akan mengembalikan dana insentif yang saya terima ke rekening Universitas Syiah Kuala;</w:t>
      </w:r>
    </w:p>
    <w:p>
      <w:pPr>
        <w:spacing w:before="0" w:after="0" w:line="240" w:lineRule="auto"/>
        <w:jc w:val="both"/>
      </w:pPr>
      <w:r>
        <w:rPr>
          <w:rFonts w:ascii="Cambria" w:hAnsi="Cambria"/>
          <w:b w:val="0"/>
          <w:sz w:val="22"/>
        </w:rPr>
        <w:t>2. Artikel ilmiah/Opini Media Massa/Hak Kekayaan Intelektual yang saya ajukan seperti yang tersebut pada lampiran adalah bebas plagiarisme/bukan jiplakan dari hasil karya orang lain;</w:t>
      </w:r>
    </w:p>
    <w:p>
      <w:pPr>
        <w:spacing w:before="0" w:after="0" w:line="240" w:lineRule="auto"/>
        <w:jc w:val="both"/>
      </w:pPr>
      <w:r>
        <w:rPr>
          <w:rFonts w:ascii="Cambria" w:hAnsi="Cambria"/>
          <w:b w:val="0"/>
          <w:sz w:val="22"/>
        </w:rPr>
        <w:t>3. Artikel ilmiah/Opini Media Massa/Hak Kekayaan Intelektual yang saya ajukan seperti yang tersebut pada lampiran belum pernah mendapatkan insentif pada periode-periode sebelumnya, atau dari sumber dana lainnya;</w:t>
      </w:r>
    </w:p>
    <w:p>
      <w:pPr>
        <w:spacing w:before="0" w:after="0" w:line="240" w:lineRule="auto"/>
        <w:jc w:val="both"/>
      </w:pPr>
      <w:r>
        <w:rPr>
          <w:rFonts w:ascii="Cambria" w:hAnsi="Cambria"/>
          <w:b w:val="0"/>
          <w:sz w:val="22"/>
        </w:rPr>
        <w:t>4. Benar nomor rekening dan nama bank yang telah saya cantumkan untuk menerima biaya submit artikel/insentif publikasi/opini media massa/hak kekayaan intelektual;</w:t>
      </w:r>
    </w:p>
    <w:p>
      <w:pPr>
        <w:spacing w:before="0" w:after="0" w:line="240" w:lineRule="auto"/>
        <w:jc w:val="both"/>
      </w:pPr>
      <w:r>
        <w:rPr>
          <w:rFonts w:ascii="Cambria" w:hAnsi="Cambria"/>
          <w:b w:val="0"/>
          <w:sz w:val="22"/>
        </w:rPr>
        <w:t>5. Saya bersedia mengembalikan dana insentif yang saya terima ke rekening Universitas Syiah Kuala bila di kemudian hari terbukti bahwa artikel ilmiah/opini media massa/hak kekayaan intelektual yang saya ajukan seperti yang tersebut pada tabel, dinyatakan bukan milik saya atau sudah pernah mendapat insentif/opini media massa/hak kekayaan intelektual pada periode-periode sebelumnya dari sumber dana lainnya atau tidak sesuai dengan panduan/ketentuan yang berlaku.</w:t>
      </w:r>
    </w:p>
    <w:p/>
    <w:p>
      <w:pPr>
        <w:spacing w:before="0" w:after="0" w:line="240" w:lineRule="auto"/>
        <w:jc w:val="right"/>
      </w:pPr>
      <w:r>
        <w:rPr>
          <w:rFonts w:ascii="Cambria" w:hAnsi="Cambria"/>
          <w:b w:val="0"/>
          <w:sz w:val="22"/>
        </w:rPr>
        <w:t>Banda Aceh,     Maret 2025</w:t>
        <w:br/>
        <w:t>Yang menyatakan,</w:t>
      </w:r>
    </w:p>
    <w:p/>
    <w:p>
      <w:pPr>
        <w:spacing w:before="0" w:after="0" w:line="240" w:lineRule="auto"/>
        <w:jc w:val="right"/>
      </w:pPr>
      <w:r>
        <w:rPr>
          <w:rFonts w:ascii="Cambria" w:hAnsi="Cambria"/>
          <w:b w:val="0"/>
          <w:color w:val="A0A0A0"/>
          <w:sz w:val="22"/>
        </w:rPr>
        <w:t>Materai 10000</w:t>
      </w:r>
    </w:p>
    <w:p/>
    <w:p>
      <w:pPr>
        <w:spacing w:before="0" w:after="0" w:line="240" w:lineRule="auto"/>
        <w:jc w:val="right"/>
      </w:pPr>
      <w:r>
        <w:rPr>
          <w:rFonts w:ascii="Cambria" w:hAnsi="Cambria"/>
          <w:b w:val="0"/>
          <w:sz w:val="22"/>
        </w:rPr>
        <w:t>Maya Fitria</w:t>
        <w:br/>
        <w:t>NIP. 199005012019032020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ambria" w:hAnsi="Cambria"/>
          <w:b w:val="0"/>
          <w:sz w:val="22"/>
        </w:rPr>
        <w:t>Lampiran Daftar Biaya Submit Artikel/Insentif Publikasi/Opini Media Massa/Hak Kekayaan Intelektual yang didanai atas nama Maya Fitria sebagai berikut: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04"/>
          </w:tcPr>
          <w:p>
            <w:pPr>
              <w:spacing w:before="0" w:after="0" w:line="240" w:lineRule="auto"/>
              <w:jc w:val="left"/>
            </w:pPr>
            <w:r>
              <w:rPr>
                <w:rFonts w:ascii="Cambria" w:hAnsi="Cambria"/>
                <w:b/>
                <w:sz w:val="20"/>
              </w:rPr>
              <w:t>No. Prop</w:t>
            </w:r>
          </w:p>
        </w:tc>
        <w:tc>
          <w:tcPr>
            <w:tcW w:type="dxa" w:w="4989"/>
          </w:tcPr>
          <w:p>
            <w:pPr>
              <w:spacing w:before="0" w:after="0" w:line="240" w:lineRule="auto"/>
              <w:jc w:val="left"/>
            </w:pPr>
            <w:r>
              <w:rPr>
                <w:rFonts w:ascii="Cambria" w:hAnsi="Cambria"/>
                <w:b/>
                <w:sz w:val="20"/>
              </w:rPr>
              <w:t>Judul Insentif</w:t>
            </w:r>
          </w:p>
        </w:tc>
        <w:tc>
          <w:tcPr>
            <w:tcW w:type="dxa" w:w="1417"/>
          </w:tcPr>
          <w:p>
            <w:pPr>
              <w:spacing w:before="0" w:after="0" w:line="240" w:lineRule="auto"/>
              <w:jc w:val="left"/>
            </w:pPr>
            <w:r>
              <w:rPr>
                <w:rFonts w:ascii="Cambria" w:hAnsi="Cambria"/>
                <w:b/>
                <w:sz w:val="20"/>
              </w:rPr>
              <w:t>Skema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Cambria" w:hAnsi="Cambria"/>
                <w:b/>
                <w:sz w:val="20"/>
              </w:rPr>
              <w:t>Jumlah Dana (Rp)</w:t>
            </w:r>
          </w:p>
        </w:tc>
      </w:tr>
      <w:tr>
        <w:tc>
          <w:tcPr>
            <w:tcW w:type="dxa" w:w="1304"/>
          </w:tcPr>
          <w:p>
            <w:pPr>
              <w:spacing w:before="0" w:after="0" w:line="240" w:lineRule="auto"/>
              <w:jc w:val="left"/>
            </w:pPr>
            <w:r>
              <w:rPr>
                <w:rFonts w:ascii="Cambria" w:hAnsi="Cambria"/>
                <w:b w:val="0"/>
                <w:sz w:val="20"/>
              </w:rPr>
              <w:t>12137</w:t>
            </w:r>
          </w:p>
        </w:tc>
        <w:tc>
          <w:tcPr>
            <w:tcW w:type="dxa" w:w="4989"/>
          </w:tcPr>
          <w:p>
            <w:pPr>
              <w:spacing w:before="0" w:after="0" w:line="240" w:lineRule="auto"/>
              <w:jc w:val="left"/>
            </w:pPr>
            <w:r>
              <w:rPr>
                <w:rFonts w:ascii="Cambria" w:hAnsi="Cambria"/>
                <w:b w:val="0"/>
                <w:sz w:val="20"/>
              </w:rPr>
              <w:t>Performance Analysis of DMF Teeth Detection Using Deep Learning: A Comparative Study with Clinical Examination as Quasi Experimental Study</w:t>
            </w:r>
          </w:p>
        </w:tc>
        <w:tc>
          <w:tcPr>
            <w:tcW w:type="dxa" w:w="1417"/>
          </w:tcPr>
          <w:p>
            <w:pPr>
              <w:spacing w:before="0" w:after="0" w:line="240" w:lineRule="auto"/>
              <w:jc w:val="left"/>
            </w:pPr>
            <w:r>
              <w:rPr>
                <w:rFonts w:ascii="Cambria" w:hAnsi="Cambria"/>
                <w:b w:val="0"/>
                <w:sz w:val="20"/>
              </w:rPr>
              <w:t>BSA.JNT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Cambria" w:hAnsi="Cambria"/>
                <w:b w:val="0"/>
                <w:sz w:val="20"/>
              </w:rPr>
              <w:t>1.500.000</w:t>
            </w:r>
          </w:p>
        </w:tc>
      </w:tr>
      <w:tr>
        <w:tc>
          <w:tcPr>
            <w:tcW w:type="dxa" w:w="1304"/>
          </w:tcPr>
          <w:p>
            <w:pPr>
              <w:spacing w:before="0" w:after="0" w:line="240" w:lineRule="auto"/>
              <w:jc w:val="left"/>
            </w:pPr>
            <w:r>
              <w:rPr>
                <w:rFonts w:ascii="Cambria" w:hAnsi="Cambria"/>
                <w:b w:val="0"/>
                <w:sz w:val="20"/>
              </w:rPr>
              <w:t>12116</w:t>
            </w:r>
          </w:p>
        </w:tc>
        <w:tc>
          <w:tcPr>
            <w:tcW w:type="dxa" w:w="4989"/>
          </w:tcPr>
          <w:p>
            <w:pPr>
              <w:spacing w:before="0" w:after="0" w:line="240" w:lineRule="auto"/>
              <w:jc w:val="left"/>
            </w:pPr>
            <w:r>
              <w:rPr>
                <w:rFonts w:ascii="Cambria" w:hAnsi="Cambria"/>
                <w:b w:val="0"/>
                <w:sz w:val="20"/>
              </w:rPr>
              <w:t>The Deep Learning Model for Decayed-Missing-Filled Teeth Detection: A Comparison Between YOLOv5 and YOLOv8</w:t>
            </w:r>
          </w:p>
        </w:tc>
        <w:tc>
          <w:tcPr>
            <w:tcW w:type="dxa" w:w="1417"/>
          </w:tcPr>
          <w:p>
            <w:pPr>
              <w:spacing w:before="0" w:after="0" w:line="240" w:lineRule="auto"/>
              <w:jc w:val="left"/>
            </w:pPr>
            <w:r>
              <w:rPr>
                <w:rFonts w:ascii="Cambria" w:hAnsi="Cambria"/>
                <w:b w:val="0"/>
                <w:sz w:val="20"/>
              </w:rPr>
              <w:t>IJIB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Cambria" w:hAnsi="Cambria"/>
                <w:b w:val="0"/>
                <w:sz w:val="20"/>
              </w:rPr>
              <w:t>13.000.000</w:t>
            </w:r>
          </w:p>
        </w:tc>
      </w:tr>
      <w:tr>
        <w:tc>
          <w:tcPr>
            <w:tcW w:type="dxa" w:w="1304"/>
          </w:tcPr>
          <w:p>
            <w:pPr>
              <w:spacing w:before="0" w:after="0" w:line="240" w:lineRule="auto"/>
              <w:jc w:val="left"/>
            </w:pPr>
            <w:r>
              <w:rPr>
                <w:rFonts w:ascii="Cambria" w:hAnsi="Cambria"/>
                <w:b w:val="0"/>
                <w:sz w:val="20"/>
              </w:rPr>
              <w:t>12139</w:t>
            </w:r>
          </w:p>
        </w:tc>
        <w:tc>
          <w:tcPr>
            <w:tcW w:type="dxa" w:w="4989"/>
          </w:tcPr>
          <w:p>
            <w:pPr>
              <w:spacing w:before="0" w:after="0" w:line="240" w:lineRule="auto"/>
              <w:jc w:val="left"/>
            </w:pPr>
            <w:r>
              <w:rPr>
                <w:rFonts w:ascii="Cambria" w:hAnsi="Cambria"/>
                <w:b w:val="0"/>
                <w:sz w:val="20"/>
              </w:rPr>
              <w:t>Development of Intraoral Clinical Image Dataset for Deep Learning Caries Detection</w:t>
            </w:r>
          </w:p>
        </w:tc>
        <w:tc>
          <w:tcPr>
            <w:tcW w:type="dxa" w:w="1417"/>
          </w:tcPr>
          <w:p>
            <w:pPr>
              <w:spacing w:before="0" w:after="0" w:line="240" w:lineRule="auto"/>
              <w:jc w:val="left"/>
            </w:pPr>
            <w:r>
              <w:rPr>
                <w:rFonts w:ascii="Cambria" w:hAnsi="Cambria"/>
                <w:b w:val="0"/>
                <w:sz w:val="20"/>
              </w:rPr>
              <w:t>IPTS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Cambria" w:hAnsi="Cambria"/>
                <w:b w:val="0"/>
                <w:sz w:val="20"/>
              </w:rPr>
              <w:t>3.500.000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trHeight w:val="7937"/>
        </w:trPr>
        <w:tc>
          <w:tcPr>
            <w:tcW w:type="dxa" w:w="8640"/>
          </w:tcPr>
          <w:p/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850"/>
        <w:gridCol w:w="1134"/>
      </w:tblGrid>
      <w:tr>
        <w:tc>
          <w:tcPr>
            <w:tcW w:type="dxa" w:w="288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/>
          </w:p>
        </w:tc>
        <w:tc>
          <w:tcPr>
            <w:tcW w:type="dxa" w:w="2880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/>
                <w:b w:val="0"/>
                <w:sz w:val="18"/>
              </w:rPr>
              <w:t>Tanda</w:t>
              <w:br/>
              <w:t>Tangan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jc w:val="left"/>
            </w:pPr>
            <w:r>
              <w:rPr>
                <w:rFonts w:ascii="Cambria" w:hAnsi="Cambria"/>
                <w:b w:val="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