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Identity Verification (KYC) Policy</w:t>
      </w:r>
    </w:p>
    <w:p/>
    <w:p>
      <w:r>
        <w:t>Document ID: Policy_C17_kyc_policy</w:t>
      </w:r>
    </w:p>
    <w:p>
      <w:r>
        <w:t>Category: C17 — KYC &amp; Identity Verification</w:t>
      </w:r>
    </w:p>
    <w:p>
      <w:r>
        <w:t>Department: Compliance</w:t>
      </w:r>
    </w:p>
    <w:p>
      <w:r>
        <w:t>Customer Scope: all</w:t>
      </w:r>
    </w:p>
    <w:p>
      <w:r>
        <w:t>Version: 1.0    Last Updated: 2026-08-08    Source Authority: Internal Knowledge Base</w:t>
      </w:r>
    </w:p>
    <w:p/>
    <w:p>
      <w:pPr>
        <w:pStyle w:val="Heading1"/>
      </w:pPr>
      <w:r>
        <w:t>Policy Statement</w:t>
      </w:r>
    </w:p>
    <w:p>
      <w:r>
        <w:t>Establishes the mandatory identity verification standards for new connections and periodic re-verification, in line with applicable telecom licensing and regulatory requirements.</w:t>
      </w:r>
    </w:p>
    <w:p>
      <w:pPr>
        <w:pStyle w:val="Heading1"/>
      </w:pPr>
      <w:r>
        <w:t>Purpose</w:t>
      </w:r>
    </w:p>
    <w:p>
      <w:r>
        <w:t>Ensures consistent, compliant, and customer-fair treatment across all channels and customer segments.</w:t>
      </w:r>
    </w:p>
    <w:p>
      <w:pPr>
        <w:pStyle w:val="Heading1"/>
      </w:pPr>
      <w:r>
        <w:t>Scope</w:t>
      </w:r>
    </w:p>
    <w:p>
      <w:r>
        <w:t>Applies to all prepaid, postpaid, and (where noted) enterprise customers, and to all NovaTel-authorised channels.</w:t>
      </w:r>
    </w:p>
    <w:p>
      <w:pPr>
        <w:pStyle w:val="Heading1"/>
      </w:pPr>
      <w:r>
        <w:t>Definitions</w:t>
      </w:r>
    </w:p>
    <w:p>
      <w:pPr>
        <w:pStyle w:val="ListParagraph"/>
      </w:pPr>
      <w:r>
        <w:t>**Customer** — any individual or entity holding an active NovaTel connection or account.</w:t>
      </w:r>
    </w:p>
    <w:p>
      <w:pPr>
        <w:pStyle w:val="ListParagraph"/>
      </w:pPr>
      <w:r>
        <w:t>**Working day** — a business day excluding weekends and public holidays.</w:t>
      </w:r>
    </w:p>
    <w:p>
      <w:pPr>
        <w:pStyle w:val="Heading1"/>
      </w:pPr>
      <w:r>
        <w:t>Eligibility</w:t>
      </w:r>
    </w:p>
    <w:p>
      <w:r>
        <w:t>Applies to customers with an active, KYC-verified account in good standing, subject to the rules and exceptions below.</w:t>
      </w:r>
    </w:p>
    <w:p>
      <w:pPr>
        <w:pStyle w:val="Heading1"/>
      </w:pPr>
      <w:r>
        <w:t>Rules</w:t>
      </w:r>
    </w:p>
    <w:p>
      <w:pPr>
        <w:pStyle w:val="ListParagraph"/>
      </w:pPr>
      <w:r>
        <w:t>Requests are processed per the documented standard timelines.</w:t>
      </w:r>
    </w:p>
    <w:p>
      <w:pPr>
        <w:pStyle w:val="ListParagraph"/>
      </w:pPr>
      <w:r>
        <w:t>Customers are notified of outcomes via their registered contact channel.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Applies To</w:t>
            </w:r>
          </w:p>
        </w:tc>
        <w:tc>
          <w:tcPr>
            <w:tcW w:type="dxa" w:w="2880"/>
          </w:tcPr>
          <w:p>
            <w:r>
              <w:t>Exception</w:t>
            </w:r>
          </w:p>
        </w:tc>
      </w:tr>
      <w:tr>
        <w:tc>
          <w:tcPr>
            <w:tcW w:type="dxa" w:w="2880"/>
          </w:tcPr>
          <w:p>
            <w:r>
              <w:t>Standard processing timeline applies</w:t>
            </w:r>
          </w:p>
        </w:tc>
        <w:tc>
          <w:tcPr>
            <w:tcW w:type="dxa" w:w="2880"/>
          </w:tcPr>
          <w:p>
            <w:r>
              <w:t>All customers</w:t>
            </w:r>
          </w:p>
        </w:tc>
        <w:tc>
          <w:tcPr>
            <w:tcW w:type="dxa" w:w="2880"/>
          </w:tcPr>
          <w:p>
            <w:r>
              <w:t>See Exceptions</w:t>
            </w:r>
          </w:p>
        </w:tc>
      </w:tr>
    </w:tbl>
    <w:p>
      <w:pPr>
        <w:pStyle w:val="Heading1"/>
      </w:pPr>
      <w:r>
        <w:t>Exceptions</w:t>
      </w:r>
    </w:p>
    <w:p>
      <w:pPr>
        <w:pStyle w:val="ListParagraph"/>
      </w:pPr>
      <w:r>
        <w:t>Enterprise/pooled accounts may follow their signed commercial agreement instead.</w:t>
      </w:r>
    </w:p>
    <w:p>
      <w:pPr>
        <w:pStyle w:val="Heading1"/>
      </w:pPr>
      <w:r>
        <w:t>Approval Requirements</w:t>
      </w:r>
    </w:p>
    <w:p>
      <w:r>
        <w:t>Exceptions to standard rules require documented supervisor or department-head approval before being applied.</w:t>
      </w:r>
    </w:p>
    <w:p>
      <w:pPr>
        <w:pStyle w:val="Heading1"/>
      </w:pPr>
      <w:r>
        <w:t>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Party</w:t>
            </w:r>
          </w:p>
        </w:tc>
        <w:tc>
          <w:tcPr>
            <w:tcW w:type="dxa" w:w="4320"/>
          </w:tcPr>
          <w:p>
            <w:r>
              <w:t>Responsibility</w:t>
            </w:r>
          </w:p>
        </w:tc>
      </w:tr>
      <w:tr>
        <w:tc>
          <w:tcPr>
            <w:tcW w:type="dxa" w:w="4320"/>
          </w:tcPr>
          <w:p>
            <w:r>
              <w:t>Compliance</w:t>
            </w:r>
          </w:p>
        </w:tc>
        <w:tc>
          <w:tcPr>
            <w:tcW w:type="dxa" w:w="4320"/>
          </w:tcPr>
          <w:p>
            <w:r>
              <w:t>Maintain and apply this policy consistently</w:t>
            </w:r>
          </w:p>
        </w:tc>
      </w:tr>
      <w:tr>
        <w:tc>
          <w:tcPr>
            <w:tcW w:type="dxa" w:w="4320"/>
          </w:tcPr>
          <w:p>
            <w:r>
              <w:t>Customer Care</w:t>
            </w:r>
          </w:p>
        </w:tc>
        <w:tc>
          <w:tcPr>
            <w:tcW w:type="dxa" w:w="4320"/>
          </w:tcPr>
          <w:p>
            <w:r>
              <w:t>Communicate policy outcomes clearly to customers</w:t>
            </w:r>
          </w:p>
        </w:tc>
      </w:tr>
      <w:tr>
        <w:tc>
          <w:tcPr>
            <w:tcW w:type="dxa" w:w="4320"/>
          </w:tcPr>
          <w:p>
            <w:r>
              <w:t>Compliance</w:t>
            </w:r>
          </w:p>
        </w:tc>
        <w:tc>
          <w:tcPr>
            <w:tcW w:type="dxa" w:w="4320"/>
          </w:tcPr>
          <w:p>
            <w:r>
              <w:t>Periodically audit adherence to this policy</w:t>
            </w:r>
          </w:p>
        </w:tc>
      </w:tr>
    </w:tbl>
    <w:p>
      <w:pPr>
        <w:pStyle w:val="Heading1"/>
      </w:pPr>
      <w:r>
        <w:t>Compliance Requirements</w:t>
      </w:r>
    </w:p>
    <w:p>
      <w:r>
        <w:t>This policy is designed to align with applicable regulatory requirements (e.g. TRAI/DoT guidance) as general background context; it is not a substitute for legal advice.</w:t>
      </w:r>
    </w:p>
    <w:p>
      <w:pPr>
        <w:pStyle w:val="Heading1"/>
      </w:pPr>
      <w:r>
        <w:t>Audit Considerations</w:t>
      </w:r>
    </w:p>
    <w:p>
      <w:r>
        <w:t>All exceptions and manual overrides must be logged with justification for periodic audit review.</w:t>
      </w:r>
    </w:p>
    <w:p>
      <w:pPr>
        <w:pStyle w:val="Heading1"/>
      </w:pPr>
      <w:r>
        <w:t>Escalation</w:t>
      </w:r>
    </w:p>
    <w:p>
      <w:pPr>
        <w:pStyle w:val="ListParagraph"/>
      </w:pPr>
      <w:r>
        <w:t>Where first-line steps do not resolve the issue within the stated timeframe, the case is escalated to the next tier with full interaction history attached, and the customer is informed of the new reference and expected timeline.</w:t>
      </w:r>
    </w:p>
    <w:p>
      <w:pPr>
        <w:pStyle w:val="Heading1"/>
      </w:pPr>
      <w:r>
        <w:t>Effective Date / Version</w:t>
      </w:r>
    </w:p>
    <w:p>
      <w:r>
        <w:t>Version 1.0, effective 2026-08-08.</w:t>
      </w:r>
    </w:p>
    <w:p>
      <w:pPr>
        <w:pStyle w:val="Heading1"/>
      </w:pPr>
      <w:r>
        <w:t>Review Cycle</w:t>
      </w:r>
    </w:p>
    <w:p>
      <w:r>
        <w:t>This policy is reviewed annually or upon material regulatory change, whichever is earlier.</w:t>
      </w:r>
    </w:p>
    <w:p>
      <w:pPr>
        <w:pStyle w:val="Heading1"/>
      </w:pPr>
      <w:r>
        <w:t>Related Documents</w:t>
      </w:r>
    </w:p>
    <w:p>
      <w:r>
        <w:t>No directly linked documents are recorded for this item; refer to the relevant department for further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