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Regulatory Compliance and TRAI Disclosure Policy</w:t>
      </w:r>
    </w:p>
    <w:p/>
    <w:p>
      <w:r>
        <w:t>Document ID: Policy_C28_regulatory_compliance</w:t>
      </w:r>
    </w:p>
    <w:p>
      <w:r>
        <w:t>Category: C28 — Regulatory &amp; Compliance (TRAI)</w:t>
      </w:r>
    </w:p>
    <w:p>
      <w:r>
        <w:t>Department: Legal</w:t>
      </w:r>
    </w:p>
    <w:p>
      <w:r>
        <w:t>Customer Scope: all</w:t>
      </w:r>
    </w:p>
    <w:p>
      <w:r>
        <w:t>Version: 1.0    Last Updated: 2026-08-08    Source Authority: Internal Knowledge Base</w:t>
      </w:r>
    </w:p>
    <w:p/>
    <w:p>
      <w:pPr>
        <w:pStyle w:val="Heading1"/>
      </w:pPr>
      <w:r>
        <w:t>Policy Statement</w:t>
      </w:r>
    </w:p>
    <w:p>
      <w:r>
        <w:t>Describes NovaTel's commitment to compliance with applicable telecom regulatory requirements, including tariff transparency, Quality of Service (QoS) reporting, and consumer protection rules.</w:t>
      </w:r>
    </w:p>
    <w:p>
      <w:pPr>
        <w:pStyle w:val="Heading1"/>
      </w:pPr>
      <w:r>
        <w:t>Purpose</w:t>
      </w:r>
    </w:p>
    <w:p>
      <w:r>
        <w:t>Ensures consistent, compliant, and customer-fair treatment across all channels and customer segments.</w:t>
      </w:r>
    </w:p>
    <w:p>
      <w:pPr>
        <w:pStyle w:val="Heading1"/>
      </w:pPr>
      <w:r>
        <w:t>Scope</w:t>
      </w:r>
    </w:p>
    <w:p>
      <w:r>
        <w:t>Applies to all prepaid, postpaid, and (where noted) enterprise customers, and to all NovaTel-authorised channels.</w:t>
      </w:r>
    </w:p>
    <w:p>
      <w:pPr>
        <w:pStyle w:val="Heading1"/>
      </w:pPr>
      <w:r>
        <w:t>Definitions</w:t>
      </w:r>
    </w:p>
    <w:p>
      <w:pPr>
        <w:pStyle w:val="ListParagraph"/>
      </w:pPr>
      <w:r>
        <w:t>**Customer** — any individual or entity holding an active NovaTel connection or account.</w:t>
      </w:r>
    </w:p>
    <w:p>
      <w:pPr>
        <w:pStyle w:val="ListParagraph"/>
      </w:pPr>
      <w:r>
        <w:t>**Working day** — a business day excluding weekends and public holidays.</w:t>
      </w:r>
    </w:p>
    <w:p>
      <w:pPr>
        <w:pStyle w:val="Heading1"/>
      </w:pPr>
      <w:r>
        <w:t>Eligibility</w:t>
      </w:r>
    </w:p>
    <w:p>
      <w:r>
        <w:t>Applies to customers with an active, KYC-verified account in good standing, subject to the rules and exceptions below.</w:t>
      </w:r>
    </w:p>
    <w:p>
      <w:pPr>
        <w:pStyle w:val="Heading1"/>
      </w:pPr>
      <w:r>
        <w:t>Rules</w:t>
      </w:r>
    </w:p>
    <w:p>
      <w:pPr>
        <w:pStyle w:val="ListParagraph"/>
      </w:pPr>
      <w:r>
        <w:t>Quarterly QoS metrics are published on the NovaTel website's Regulatory Disclosures section.</w:t>
      </w:r>
    </w:p>
    <w:p>
      <w:pPr>
        <w:pStyle w:val="ListParagraph"/>
      </w:pPr>
      <w:r>
        <w:t>DND/UCC, MNP, and KYC processes are implemented in line with the applicable TRAI regulations in force.</w:t>
      </w:r>
    </w:p>
    <w:p>
      <w:pPr>
        <w:pStyle w:val="ListParagraph"/>
      </w:pPr>
      <w:r>
        <w:t>This policy is reviewed whenever a material regulatory change is notified by TRAI or the Department of Telecommunications.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Applies To</w:t>
            </w:r>
          </w:p>
        </w:tc>
        <w:tc>
          <w:tcPr>
            <w:tcW w:type="dxa" w:w="2880"/>
          </w:tcPr>
          <w:p>
            <w:r>
              <w:t>Exception</w:t>
            </w:r>
          </w:p>
        </w:tc>
      </w:tr>
      <w:tr>
        <w:tc>
          <w:tcPr>
            <w:tcW w:type="dxa" w:w="2880"/>
          </w:tcPr>
          <w:p>
            <w:r>
              <w:t>Quarterly QoS metrics are published on the NovaTel website's</w:t>
            </w:r>
          </w:p>
        </w:tc>
        <w:tc>
          <w:tcPr>
            <w:tcW w:type="dxa" w:w="2880"/>
          </w:tcPr>
          <w:p>
            <w:r>
              <w:t>All customers</w:t>
            </w:r>
          </w:p>
        </w:tc>
        <w:tc>
          <w:tcPr>
            <w:tcW w:type="dxa" w:w="2880"/>
          </w:tcPr>
          <w:p>
            <w:r>
              <w:t>See Exceptions</w:t>
            </w:r>
          </w:p>
        </w:tc>
      </w:tr>
      <w:tr>
        <w:tc>
          <w:tcPr>
            <w:tcW w:type="dxa" w:w="2880"/>
          </w:tcPr>
          <w:p>
            <w:r>
              <w:t>DND/UCC, MNP, and KYC processes are implemented in line with</w:t>
            </w:r>
          </w:p>
        </w:tc>
        <w:tc>
          <w:tcPr>
            <w:tcW w:type="dxa" w:w="2880"/>
          </w:tcPr>
          <w:p>
            <w:r>
              <w:t>All customers</w:t>
            </w:r>
          </w:p>
        </w:tc>
        <w:tc>
          <w:tcPr>
            <w:tcW w:type="dxa" w:w="2880"/>
          </w:tcPr>
          <w:p>
            <w:r>
              <w:t>See Exceptions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Paragraph"/>
      </w:pPr>
      <w:r>
        <w:t>Enterprise/pooled accounts may follow their signed commercial agreement instead.</w:t>
      </w:r>
    </w:p>
    <w:p>
      <w:pPr>
        <w:pStyle w:val="Heading1"/>
      </w:pPr>
      <w:r>
        <w:t>Approval Requirements</w:t>
      </w:r>
    </w:p>
    <w:p>
      <w:r>
        <w:t>Exceptions to standard rules require documented supervisor or department-head approval before being applied.</w:t>
      </w:r>
    </w:p>
    <w:p>
      <w:pPr>
        <w:pStyle w:val="Heading1"/>
      </w:pPr>
      <w:r>
        <w:t>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Maintain and apply this policy consistently</w:t>
            </w:r>
          </w:p>
        </w:tc>
      </w:tr>
      <w:tr>
        <w:tc>
          <w:tcPr>
            <w:tcW w:type="dxa" w:w="4320"/>
          </w:tcPr>
          <w:p>
            <w:r>
              <w:t>Customer Care</w:t>
            </w:r>
          </w:p>
        </w:tc>
        <w:tc>
          <w:tcPr>
            <w:tcW w:type="dxa" w:w="4320"/>
          </w:tcPr>
          <w:p>
            <w:r>
              <w:t>Communicate policy outcomes clearly to customers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Periodically audit adherence to this policy</w:t>
            </w:r>
          </w:p>
        </w:tc>
      </w:tr>
    </w:tbl>
    <w:p>
      <w:pPr>
        <w:pStyle w:val="Heading1"/>
      </w:pPr>
      <w:r>
        <w:t>Compliance Requirements</w:t>
      </w:r>
    </w:p>
    <w:p>
      <w:r>
        <w:t>This policy is designed to align with applicable regulatory requirements (e.g. TRAI/DoT guidance) as general background context; it is not a substitute for legal advice.</w:t>
      </w:r>
    </w:p>
    <w:p>
      <w:pPr>
        <w:pStyle w:val="Heading1"/>
      </w:pPr>
      <w:r>
        <w:t>Audit Considerations</w:t>
      </w:r>
    </w:p>
    <w:p>
      <w:r>
        <w:t>All exceptions and manual overrides must be logged with justification for periodic audit review.</w:t>
      </w:r>
    </w:p>
    <w:p>
      <w:pPr>
        <w:pStyle w:val="Heading1"/>
      </w:pPr>
      <w:r>
        <w:t>Escalation</w:t>
      </w:r>
    </w:p>
    <w:p>
      <w:pPr>
        <w:pStyle w:val="ListParagraph"/>
      </w:pPr>
      <w:r>
        <w:t>Escalations beyond first-line resolution are logged with a unique ticket reference and routed to the relevant specialist team, with an SLA acknowledgement sent to the customer within 24 hours.</w:t>
      </w:r>
    </w:p>
    <w:p>
      <w:pPr>
        <w:pStyle w:val="Heading1"/>
      </w:pPr>
      <w:r>
        <w:t>Effective Date / Version</w:t>
      </w:r>
    </w:p>
    <w:p>
      <w:r>
        <w:t>Version 1.0, effective 2026-08-08.</w:t>
      </w:r>
    </w:p>
    <w:p>
      <w:pPr>
        <w:pStyle w:val="Heading1"/>
      </w:pPr>
      <w:r>
        <w:t>Review Cycle</w:t>
      </w:r>
    </w:p>
    <w:p>
      <w:r>
        <w:t>This policy is reviewed annually or upon material regulatory change, whichever is earlier.</w:t>
      </w:r>
    </w:p>
    <w:p>
      <w:pPr>
        <w:pStyle w:val="Heading1"/>
      </w:pPr>
      <w:r>
        <w:t>Related Documents</w:t>
      </w:r>
    </w:p>
    <w:p>
      <w:r>
        <w:t>No directly linked documents are recorded for this item; refer to the relevant department for further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