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RCA: Mumbai West 4G Cluster Outage (INC-2026-0142)</w:t>
      </w:r>
    </w:p>
    <w:p/>
    <w:p>
      <w:r>
        <w:t>Document ID: RCA_INC_2026_0142</w:t>
      </w:r>
    </w:p>
    <w:p>
      <w:r>
        <w:t>Category: C08 — Network Coverage &amp; Outages</w:t>
      </w:r>
    </w:p>
    <w:p>
      <w:r>
        <w:t>Department: Network</w:t>
      </w:r>
    </w:p>
    <w:p>
      <w:r>
        <w:t>Customer Scope: all</w:t>
      </w:r>
    </w:p>
    <w:p>
      <w:r>
        <w:t>Version: 1.0    Last Updated: 2026-08-08    Source Authority: Internal Knowledge Base</w:t>
      </w:r>
    </w:p>
    <w:p/>
    <w:p>
      <w:pPr>
        <w:pStyle w:val="Heading1"/>
      </w:pPr>
      <w:r>
        <w:t>Incident Summary</w:t>
      </w:r>
    </w:p>
    <w:p>
      <w:r>
        <w:t>A ~3-hour 4G outage affected approximately 40 sites in Mumbai West circle.</w:t>
      </w:r>
    </w:p>
    <w:p>
      <w:r>
        <w:t>Incident Reference: INC-2026-0142</w:t>
      </w:r>
    </w:p>
    <w:p>
      <w:pPr>
        <w:pStyle w:val="Heading1"/>
      </w:pPr>
      <w:r>
        <w:t>Business Impact</w:t>
      </w:r>
    </w:p>
    <w:p>
      <w:r>
        <w:t>Customer-facing impact and any associated complaint/refund volume are tracked in the linked incident record and customer-care systems.</w:t>
      </w:r>
    </w:p>
    <w:p>
      <w:pPr>
        <w:pStyle w:val="Heading1"/>
      </w:pPr>
      <w:r>
        <w:t>Technical Impact</w:t>
      </w:r>
    </w:p>
    <w:p>
      <w:r>
        <w:t>Affected systems/sites and the duration of degraded or unavailable service are as recorded in the linked incident report.</w:t>
      </w:r>
    </w:p>
    <w:p>
      <w:pPr>
        <w:pStyle w:val="Heading1"/>
      </w:pPr>
      <w:r>
        <w:t>Detection</w:t>
      </w:r>
    </w:p>
    <w:p>
      <w:r>
        <w:t>Detected via monitoring/alarms or customer reports as documented in the linked incident report.</w:t>
      </w:r>
    </w:p>
    <w:p>
      <w:pPr>
        <w:pStyle w:val="Heading1"/>
      </w:pPr>
      <w:r>
        <w:t>Timeline</w:t>
      </w:r>
    </w:p>
    <w:tbl>
      <w:tblPr>
        <w:tblStyle w:val="LightGrid-Accent1"/>
        <w:tblW w:type="auto" w:w="0"/>
        <w:tblLook w:firstColumn="1" w:firstRow="1" w:lastColumn="0" w:lastRow="0" w:noHBand="0" w:noVBand="1" w:val="04A0"/>
      </w:tblPr>
      <w:tblGrid>
        <w:gridCol w:w="4320"/>
        <w:gridCol w:w="4320"/>
      </w:tblGrid>
      <w:tr>
        <w:tc>
          <w:tcPr>
            <w:tcW w:type="dxa" w:w="4320"/>
          </w:tcPr>
          <w:p>
            <w:r>
              <w:t>Time</w:t>
            </w:r>
          </w:p>
        </w:tc>
        <w:tc>
          <w:tcPr>
            <w:tcW w:type="dxa" w:w="4320"/>
          </w:tcPr>
          <w:p>
            <w:r>
              <w:t>Event</w:t>
            </w:r>
          </w:p>
        </w:tc>
      </w:tr>
      <w:tr>
        <w:tc>
          <w:tcPr>
            <w:tcW w:type="dxa" w:w="4320"/>
          </w:tcPr>
          <w:p>
            <w:r>
              <w:t>T+0</w:t>
            </w:r>
          </w:p>
        </w:tc>
        <w:tc>
          <w:tcPr>
            <w:tcW w:type="dxa" w:w="4320"/>
          </w:tcPr>
          <w:p>
            <w:r>
              <w:t>Fault detected</w:t>
            </w:r>
          </w:p>
        </w:tc>
      </w:tr>
      <w:tr>
        <w:tc>
          <w:tcPr>
            <w:tcW w:type="dxa" w:w="4320"/>
          </w:tcPr>
          <w:p>
            <w:r>
              <w:t>T+X</w:t>
            </w:r>
          </w:p>
        </w:tc>
        <w:tc>
          <w:tcPr>
            <w:tcW w:type="dxa" w:w="4320"/>
          </w:tcPr>
          <w:p>
            <w:r>
              <w:t>Root cause identified</w:t>
            </w:r>
          </w:p>
        </w:tc>
      </w:tr>
      <w:tr>
        <w:tc>
          <w:tcPr>
            <w:tcW w:type="dxa" w:w="4320"/>
          </w:tcPr>
          <w:p>
            <w:r>
              <w:t>T+Y</w:t>
            </w:r>
          </w:p>
        </w:tc>
        <w:tc>
          <w:tcPr>
            <w:tcW w:type="dxa" w:w="4320"/>
          </w:tcPr>
          <w:p>
            <w:r>
              <w:t>Service restored</w:t>
            </w:r>
          </w:p>
        </w:tc>
      </w:tr>
    </w:tbl>
    <w:p>
      <w:pPr>
        <w:pStyle w:val="Heading1"/>
      </w:pPr>
      <w:r>
        <w:t>Root Cause</w:t>
      </w:r>
    </w:p>
    <w:p>
      <w:r>
        <w:t>Third-party road excavation work severed the primary fibre backhaul without prior utility-clearance coordination with NovaTel's infrastructure team.</w:t>
      </w:r>
    </w:p>
    <w:p>
      <w:pPr>
        <w:pStyle w:val="Heading1"/>
      </w:pPr>
      <w:r>
        <w:t>Contributing Factors</w:t>
      </w:r>
    </w:p>
    <w:p>
      <w:pPr>
        <w:pStyle w:val="ListParagraph"/>
      </w:pPr>
      <w:r>
        <w:t>No automatic failover to microwave backhaul was configured for this cluster.</w:t>
      </w:r>
    </w:p>
    <w:p>
      <w:pPr>
        <w:pStyle w:val="ListParagraph"/>
      </w:pPr>
      <w:r>
        <w:t>Utility-excavation notification process with local municipal bodies had a gap for this corridor.</w:t>
      </w:r>
    </w:p>
    <w:p>
      <w:pPr>
        <w:pStyle w:val="Heading1"/>
      </w:pPr>
      <w:r>
        <w:t>Five Whys</w:t>
      </w:r>
    </w:p>
    <w:p>
      <w:r>
        <w:t>Why did the fault occur? Root cause as above. Why wasn't it prevented? Existing safeguards did not cover this failure mode. Why not? The scenario had not previously been observed at this scale, prompting the corrective actions below.</w:t>
      </w:r>
    </w:p>
    <w:p>
      <w:pPr>
        <w:pStyle w:val="Heading1"/>
      </w:pPr>
      <w:r>
        <w:t>Resolution</w:t>
      </w:r>
    </w:p>
    <w:p>
      <w:r>
        <w:t>Service was restored per the incident timeline; see linked incident report for full detail.</w:t>
      </w:r>
    </w:p>
    <w:p>
      <w:pPr>
        <w:pStyle w:val="Heading1"/>
      </w:pPr>
      <w:r>
        <w:t>Corrective Actions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Action</w:t>
            </w:r>
          </w:p>
        </w:tc>
        <w:tc>
          <w:tcPr>
            <w:tcW w:type="dxa" w:w="2880"/>
          </w:tcPr>
          <w:p>
            <w:r>
              <w:t>Owner</w:t>
            </w:r>
          </w:p>
        </w:tc>
        <w:tc>
          <w:tcPr>
            <w:tcW w:type="dxa" w:w="2880"/>
          </w:tcPr>
          <w:p>
            <w:r>
              <w:t>Target</w:t>
            </w:r>
          </w:p>
        </w:tc>
      </w:tr>
      <w:tr>
        <w:tc>
          <w:tcPr>
            <w:tcW w:type="dxa" w:w="2880"/>
          </w:tcPr>
          <w:p>
            <w:r>
              <w:t>Configure automatic microwave backhaul failover for all clus</w:t>
            </w:r>
          </w:p>
        </w:tc>
        <w:tc>
          <w:tcPr>
            <w:tcW w:type="dxa" w:w="2880"/>
          </w:tcPr>
          <w:p>
            <w:r>
              <w:t>Network</w:t>
            </w:r>
          </w:p>
        </w:tc>
        <w:tc>
          <w:tcPr>
            <w:tcW w:type="dxa" w:w="2880"/>
          </w:tcPr>
          <w:p>
            <w:r>
              <w:t>See status</w:t>
            </w:r>
          </w:p>
        </w:tc>
      </w:tr>
      <w:tr>
        <w:tc>
          <w:tcPr>
            <w:tcW w:type="dxa" w:w="2880"/>
          </w:tcPr>
          <w:p>
            <w:r>
              <w:t>Establish a proactive excavation-notification liaison with m</w:t>
            </w:r>
          </w:p>
        </w:tc>
        <w:tc>
          <w:tcPr>
            <w:tcW w:type="dxa" w:w="2880"/>
          </w:tcPr>
          <w:p>
            <w:r>
              <w:t>Network</w:t>
            </w:r>
          </w:p>
        </w:tc>
        <w:tc>
          <w:tcPr>
            <w:tcW w:type="dxa" w:w="2880"/>
          </w:tcPr>
          <w:p>
            <w:r>
              <w:t>See status</w:t>
            </w:r>
          </w:p>
        </w:tc>
      </w:tr>
      <w:tr>
        <w:tc>
          <w:tcPr>
            <w:tcW w:type="dxa" w:w="2880"/>
          </w:tcPr>
          <w:p>
            <w:r>
              <w:t>Add this fibre route to the priority physical-protection (ro</w:t>
            </w:r>
          </w:p>
        </w:tc>
        <w:tc>
          <w:tcPr>
            <w:tcW w:type="dxa" w:w="2880"/>
          </w:tcPr>
          <w:p>
            <w:r>
              <w:t>Network</w:t>
            </w:r>
          </w:p>
        </w:tc>
        <w:tc>
          <w:tcPr>
            <w:tcW w:type="dxa" w:w="2880"/>
          </w:tcPr>
          <w:p>
            <w:r>
              <w:t>See status</w:t>
            </w:r>
          </w:p>
        </w:tc>
      </w:tr>
    </w:tbl>
    <w:p>
      <w:pPr>
        <w:pStyle w:val="ListParagraph"/>
      </w:pPr>
      <w:r>
        <w:t>Configure automatic microwave backhaul failover for all clusters currently on single fibre path (target: 60 days).</w:t>
      </w:r>
    </w:p>
    <w:p>
      <w:pPr>
        <w:pStyle w:val="ListParagraph"/>
      </w:pPr>
      <w:r>
        <w:t>Establish a proactive excavation-notification liaison with municipal authorities for high-risk corridors (target: 90 days).</w:t>
      </w:r>
    </w:p>
    <w:p>
      <w:pPr>
        <w:pStyle w:val="ListParagraph"/>
      </w:pPr>
      <w:r>
        <w:t>Add this fibre route to the priority physical-protection (route diversity) programme.</w:t>
      </w:r>
    </w:p>
    <w:p>
      <w:pPr>
        <w:pStyle w:val="Heading1"/>
      </w:pPr>
      <w:r>
        <w:t>Preventive Actions</w:t>
      </w:r>
    </w:p>
    <w:p>
      <w:r>
        <w:t>Longer-term preventive measures are tracked alongside the corrective actions above and reviewed at the next governance cycle.</w:t>
      </w:r>
    </w:p>
    <w:p>
      <w:pPr>
        <w:pStyle w:val="Heading1"/>
      </w:pPr>
      <w:r>
        <w:t>Monitoring Changes</w:t>
      </w:r>
    </w:p>
    <w:p>
      <w:r>
        <w:t>Monitoring thresholds/alerts relevant to this failure mode are reviewed and updated where the investigation identified a detection gap.</w:t>
      </w:r>
    </w:p>
    <w:p>
      <w:pPr>
        <w:pStyle w:val="Heading1"/>
      </w:pPr>
      <w:r>
        <w:t>Ownership</w:t>
      </w:r>
    </w:p>
    <w:p>
      <w:r>
        <w:t>Actions 1 and 2 in progress; owner: Network Infrastructure team.</w:t>
      </w:r>
    </w:p>
    <w:p>
      <w:pPr>
        <w:pStyle w:val="Heading1"/>
      </w:pPr>
      <w:r>
        <w:t>Status</w:t>
      </w:r>
    </w:p>
    <w:p>
      <w:r>
        <w:t>Actions 1 and 2 in progress; owner: Network Infrastructure team.</w:t>
      </w:r>
    </w:p>
    <w:p>
      <w:pPr>
        <w:pStyle w:val="Heading1"/>
      </w:pPr>
      <w:r>
        <w:t>Related Documents</w:t>
      </w:r>
    </w:p>
    <w:p>
      <w:r>
        <w:t>Related documents: INC_INC_2026_0142.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