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 Swap Fraud and Phishing Incident Response</w:t>
      </w:r>
    </w:p>
    <w:p/>
    <w:p>
      <w:r>
        <w:t>Document ID: SOP_C18_FRAUD_RESPONSE</w:t>
      </w:r>
    </w:p>
    <w:p>
      <w:r>
        <w:t>Category: C18 — Security &amp; Fraud</w:t>
      </w:r>
    </w:p>
    <w:p>
      <w:r>
        <w:t>Department: Security</w:t>
      </w:r>
    </w:p>
    <w:p>
      <w:r>
        <w:t>Customer Scope: all</w:t>
      </w:r>
    </w:p>
    <w:p>
      <w:r>
        <w:t>Version: 1.0    Last Updated: 2026-08-08    Source Authority: Internal Knowledge Base</w:t>
      </w:r>
    </w:p>
    <w:p/>
    <w:p>
      <w:pPr>
        <w:pStyle w:val="Heading1"/>
      </w:pPr>
      <w:r>
        <w:t>Purpose</w:t>
      </w:r>
    </w:p>
    <w:p>
      <w:r>
        <w:t>To enable rapid containment of suspected SIM swap fraud, phishing, or account takeover attempts.</w:t>
      </w:r>
    </w:p>
    <w:p>
      <w:pPr>
        <w:pStyle w:val="Heading1"/>
      </w:pPr>
      <w:r>
        <w:t>Scope</w:t>
      </w:r>
    </w:p>
    <w:p>
      <w:r>
        <w:t>Applies to all channels and customer segments unless a specific exception is noted below.</w:t>
      </w:r>
    </w:p>
    <w:p>
      <w:pPr>
        <w:pStyle w:val="Heading1"/>
      </w:pPr>
      <w:r>
        <w:t>Preconditions</w:t>
      </w:r>
    </w:p>
    <w:p>
      <w:pPr>
        <w:pStyle w:val="ListParagraph"/>
      </w:pPr>
      <w:r>
        <w:t>Customer identity verified (registered number and OTP where applicable).</w:t>
      </w:r>
    </w:p>
    <w:p>
      <w:pPr>
        <w:pStyle w:val="ListParagraph"/>
      </w:pPr>
      <w:r>
        <w:t>Account is active and not under a fraud, legal, or compliance hold.</w:t>
      </w:r>
    </w:p>
    <w:p>
      <w:pPr>
        <w:pStyle w:val="Heading1"/>
      </w:pPr>
      <w:r>
        <w:t>Roles &amp; 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First-line Agent</w:t>
            </w:r>
          </w:p>
        </w:tc>
        <w:tc>
          <w:tcPr>
            <w:tcW w:type="dxa" w:w="4320"/>
          </w:tcPr>
          <w:p>
            <w:r>
              <w:t>Verify identity, apply standard steps, escalate if unresolved</w:t>
            </w:r>
          </w:p>
        </w:tc>
      </w:tr>
      <w:tr>
        <w:tc>
          <w:tcPr>
            <w:tcW w:type="dxa" w:w="4320"/>
          </w:tcPr>
          <w:p>
            <w:r>
              <w:t>Security Team</w:t>
            </w:r>
          </w:p>
        </w:tc>
        <w:tc>
          <w:tcPr>
            <w:tcW w:type="dxa" w:w="4320"/>
          </w:tcPr>
          <w:p>
            <w:r>
              <w:t>Handle escalations and cases requiring backend access</w:t>
            </w:r>
          </w:p>
        </w:tc>
      </w:tr>
      <w:tr>
        <w:tc>
          <w:tcPr>
            <w:tcW w:type="dxa" w:w="4320"/>
          </w:tcPr>
          <w:p>
            <w:r>
              <w:t>Supervisor</w:t>
            </w:r>
          </w:p>
        </w:tc>
        <w:tc>
          <w:tcPr>
            <w:tcW w:type="dxa" w:w="4320"/>
          </w:tcPr>
          <w:p>
            <w:r>
              <w:t>Review cases breaching SLA and approve exceptions</w:t>
            </w:r>
          </w:p>
        </w:tc>
      </w:tr>
    </w:tbl>
    <w:p>
      <w:pPr>
        <w:pStyle w:val="Heading1"/>
      </w:pPr>
      <w:r>
        <w:t>Required Information</w:t>
      </w:r>
    </w:p>
    <w:p>
      <w:pPr>
        <w:pStyle w:val="ListParagraph"/>
      </w:pPr>
      <w:r>
        <w:t>Registered mobile number / account ID.</w:t>
      </w:r>
    </w:p>
    <w:p>
      <w:pPr>
        <w:pStyle w:val="ListParagraph"/>
      </w:pPr>
      <w:r>
        <w:t>Nature of the request and any reference numbers already issued.</w:t>
      </w:r>
    </w:p>
    <w:p>
      <w:pPr>
        <w:pStyle w:val="ListParagraph"/>
      </w:pPr>
      <w:r>
        <w:t>Relevant transaction or ticket ID, where applicable.</w:t>
      </w:r>
    </w:p>
    <w:p>
      <w:pPr>
        <w:pStyle w:val="Heading1"/>
      </w:pPr>
      <w:r>
        <w:t>Procedure</w:t>
      </w:r>
    </w:p>
    <w:p>
      <w:pPr>
        <w:pStyle w:val="ListParagraph"/>
      </w:pPr>
      <w:r>
        <w:t>Verify caller identity via an independent channel (not the potentially compromised number).</w:t>
      </w:r>
    </w:p>
    <w:p>
      <w:pPr>
        <w:pStyle w:val="ListParagraph"/>
      </w:pPr>
      <w:r>
        <w:t>Block the affected SIM immediately if fraud indicators are present, even before full verification completes, if risk is imminent.</w:t>
      </w:r>
    </w:p>
    <w:p>
      <w:pPr>
        <w:pStyle w:val="ListParagraph"/>
      </w:pPr>
      <w:r>
        <w:t>Log the case as a P1 security incident.</w:t>
      </w:r>
    </w:p>
    <w:p>
      <w:pPr>
        <w:pStyle w:val="ListParagraph"/>
      </w:pPr>
      <w:r>
        <w:t>Issue a verified replacement SIM only after standard KYC re-verification.</w:t>
      </w:r>
    </w:p>
    <w:p>
      <w:pPr>
        <w:pStyle w:val="ListParagraph"/>
      </w:pPr>
      <w:r>
        <w:t>Notify the Security and Legal teams for cases involving confirmed financial loss for potential law-enforcement liaison.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If Failed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Verify caller identity via an independent channel (not the potentially</w:t>
            </w:r>
          </w:p>
        </w:tc>
        <w:tc>
          <w:tcPr>
            <w:tcW w:type="dxa" w:w="2160"/>
          </w:tcPr>
          <w:p>
            <w:r>
              <w:t>Request progressed / resolved</w:t>
            </w:r>
          </w:p>
        </w:tc>
        <w:tc>
          <w:tcPr>
            <w:tcW w:type="dxa" w:w="2160"/>
          </w:tcPr>
          <w:p>
            <w:r>
              <w:t>Escalate to next tier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Block the affected SIM immediately if fraud indicators are present, ev</w:t>
            </w:r>
          </w:p>
        </w:tc>
        <w:tc>
          <w:tcPr>
            <w:tcW w:type="dxa" w:w="2160"/>
          </w:tcPr>
          <w:p>
            <w:r>
              <w:t>Request progressed / resolved</w:t>
            </w:r>
          </w:p>
        </w:tc>
        <w:tc>
          <w:tcPr>
            <w:tcW w:type="dxa" w:w="2160"/>
          </w:tcPr>
          <w:p>
            <w:r>
              <w:t>Escalate to next tier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Log the case as a P1 security incident.</w:t>
            </w:r>
          </w:p>
        </w:tc>
        <w:tc>
          <w:tcPr>
            <w:tcW w:type="dxa" w:w="2160"/>
          </w:tcPr>
          <w:p>
            <w:r>
              <w:t>Request progressed / resolved</w:t>
            </w:r>
          </w:p>
        </w:tc>
        <w:tc>
          <w:tcPr>
            <w:tcW w:type="dxa" w:w="2160"/>
          </w:tcPr>
          <w:p>
            <w:r>
              <w:t>Escalate to next tier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Issue a verified replacement SIM only after standard KYC re-verificati</w:t>
            </w:r>
          </w:p>
        </w:tc>
        <w:tc>
          <w:tcPr>
            <w:tcW w:type="dxa" w:w="2160"/>
          </w:tcPr>
          <w:p>
            <w:r>
              <w:t>Request progressed / resolved</w:t>
            </w:r>
          </w:p>
        </w:tc>
        <w:tc>
          <w:tcPr>
            <w:tcW w:type="dxa" w:w="2160"/>
          </w:tcPr>
          <w:p>
            <w:r>
              <w:t>Escalate to next tier</w:t>
            </w:r>
          </w:p>
        </w:tc>
      </w:tr>
    </w:tbl>
    <w:p>
      <w:pPr>
        <w:pStyle w:val="Heading1"/>
      </w:pPr>
      <w:r>
        <w:t>Decision Points</w:t>
      </w:r>
    </w:p>
    <w:p>
      <w:pPr>
        <w:pStyle w:val="ListParagraph"/>
      </w:pPr>
      <w:r>
        <w:t>If the request qualifies under standard criteria, proceed with automatic processing.</w:t>
      </w:r>
    </w:p>
    <w:p>
      <w:pPr>
        <w:pStyle w:val="ListParagraph"/>
      </w:pPr>
      <w:r>
        <w:t>If suspected fraud indicators are present at any step, halt standard processing and route per the Fraud &amp; Security Response SOP.</w:t>
      </w:r>
    </w:p>
    <w:p>
      <w:pPr>
        <w:pStyle w:val="Heading1"/>
      </w:pPr>
      <w:r>
        <w:t>Exception Handling</w:t>
      </w:r>
    </w:p>
    <w:p>
      <w:pPr>
        <w:pStyle w:val="ListParagraph"/>
      </w:pPr>
      <w:r>
        <w:t>Cases outside standard scope require supervisor sign-off before proceeding.</w:t>
      </w:r>
    </w:p>
    <w:p>
      <w:pPr>
        <w:pStyle w:val="Heading1"/>
      </w:pPr>
      <w:r>
        <w:t>Validation</w:t>
      </w:r>
    </w:p>
    <w:p>
      <w:r>
        <w:t>Confirm the account/system reflects the expected end state before the case is closed, and obtain customer confirmation where applicable.</w:t>
      </w:r>
    </w:p>
    <w:p>
      <w:pPr>
        <w:pStyle w:val="Heading1"/>
      </w:pPr>
      <w:r>
        <w:t>Escalation</w:t>
      </w:r>
    </w:p>
    <w:p>
      <w:pPr>
        <w:pStyle w:val="ListParagraph"/>
      </w:pPr>
      <w:r>
        <w:t>Escalations beyond first-line resolution are logged with a unique ticket reference and routed to the relevant specialist team, with an SLA acknowledgement sent to the customer within 24 hours.</w:t>
      </w:r>
    </w:p>
    <w:p>
      <w:pPr>
        <w:pStyle w:val="Heading1"/>
      </w:pPr>
      <w:r>
        <w:t>SLA / Timing</w:t>
      </w:r>
    </w:p>
    <w:p>
      <w:r>
        <w:t>First-line resolution target is same working day; escalations to specialist teams carry a 2-3 working day SLA.</w:t>
      </w:r>
    </w:p>
    <w:p>
      <w:pPr>
        <w:pStyle w:val="Heading1"/>
      </w:pPr>
      <w:r>
        <w:t>Audit Requirements</w:t>
      </w:r>
    </w:p>
    <w:p>
      <w:r>
        <w:t>Every action taken under this SOP must be logged against the account with agent ID, timestamp, and outcome for audit and quality-review purposes.</w:t>
      </w:r>
    </w:p>
    <w:p>
      <w:pPr>
        <w:pStyle w:val="Heading1"/>
      </w:pPr>
      <w:r>
        <w:t>Related Documents</w:t>
      </w:r>
    </w:p>
    <w:p>
      <w:r>
        <w:t>KB_C18_fraud_response, TRN_003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