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New Connection Activation Delay Resolution</w:t>
      </w:r>
    </w:p>
    <w:p/>
    <w:p>
      <w:r>
        <w:t>Document ID: SOP_C22_ACTIVATION_DELAY</w:t>
      </w:r>
    </w:p>
    <w:p>
      <w:r>
        <w:t>Category: C22 — New Connection Activation</w:t>
      </w:r>
    </w:p>
    <w:p>
      <w:r>
        <w:t>Department: Customer Care</w:t>
      </w:r>
    </w:p>
    <w:p>
      <w:r>
        <w:t>Customer Scope: all</w:t>
      </w:r>
    </w:p>
    <w:p>
      <w:r>
        <w:t>Version: 1.0    Last Updated: 2026-08-08    Source Authority: Internal Knowledge Base</w:t>
      </w:r>
    </w:p>
    <w:p/>
    <w:p>
      <w:pPr>
        <w:pStyle w:val="Heading1"/>
      </w:pPr>
      <w:r>
        <w:t>Purpose</w:t>
      </w:r>
    </w:p>
    <w:p>
      <w:r>
        <w:t>To resolve cases where a new SIM has not activated within the expected service window.</w:t>
      </w:r>
    </w:p>
    <w:p>
      <w:pPr>
        <w:pStyle w:val="Heading1"/>
      </w:pPr>
      <w:r>
        <w:t>Scope</w:t>
      </w:r>
    </w:p>
    <w:p>
      <w:r>
        <w:t>Applies to all channels and customer segments unless a specific exception is noted below.</w:t>
      </w:r>
    </w:p>
    <w:p>
      <w:pPr>
        <w:pStyle w:val="Heading1"/>
      </w:pPr>
      <w:r>
        <w:t>Preconditions</w:t>
      </w:r>
    </w:p>
    <w:p>
      <w:pPr>
        <w:pStyle w:val="ListParagraph"/>
      </w:pPr>
      <w:r>
        <w:t>Customer identity verified (registered number and OTP where applicable).</w:t>
      </w:r>
    </w:p>
    <w:p>
      <w:pPr>
        <w:pStyle w:val="ListParagraph"/>
      </w:pPr>
      <w:r>
        <w:t>Account is active and not under a fraud, legal, or compliance hold.</w:t>
      </w:r>
    </w:p>
    <w:p>
      <w:pPr>
        <w:pStyle w:val="Heading1"/>
      </w:pPr>
      <w:r>
        <w:t>Roles &amp;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First-line Agent</w:t>
            </w:r>
          </w:p>
        </w:tc>
        <w:tc>
          <w:tcPr>
            <w:tcW w:type="dxa" w:w="4320"/>
          </w:tcPr>
          <w:p>
            <w:r>
              <w:t>Verify identity, apply standard steps, escalate if unresolved</w:t>
            </w:r>
          </w:p>
        </w:tc>
      </w:tr>
      <w:tr>
        <w:tc>
          <w:tcPr>
            <w:tcW w:type="dxa" w:w="4320"/>
          </w:tcPr>
          <w:p>
            <w:r>
              <w:t>Customer Care Team</w:t>
            </w:r>
          </w:p>
        </w:tc>
        <w:tc>
          <w:tcPr>
            <w:tcW w:type="dxa" w:w="4320"/>
          </w:tcPr>
          <w:p>
            <w:r>
              <w:t>Handle escalations and cases requiring backend access</w:t>
            </w:r>
          </w:p>
        </w:tc>
      </w:tr>
      <w:tr>
        <w:tc>
          <w:tcPr>
            <w:tcW w:type="dxa" w:w="4320"/>
          </w:tcPr>
          <w:p>
            <w:r>
              <w:t>Supervisor</w:t>
            </w:r>
          </w:p>
        </w:tc>
        <w:tc>
          <w:tcPr>
            <w:tcW w:type="dxa" w:w="4320"/>
          </w:tcPr>
          <w:p>
            <w:r>
              <w:t>Review cases breaching SLA and approve exceptions</w:t>
            </w:r>
          </w:p>
        </w:tc>
      </w:tr>
    </w:tbl>
    <w:p>
      <w:pPr>
        <w:pStyle w:val="Heading1"/>
      </w:pPr>
      <w:r>
        <w:t>Required Information</w:t>
      </w:r>
    </w:p>
    <w:p>
      <w:pPr>
        <w:pStyle w:val="ListParagraph"/>
      </w:pPr>
      <w:r>
        <w:t>Registered mobile number / account ID.</w:t>
      </w:r>
    </w:p>
    <w:p>
      <w:pPr>
        <w:pStyle w:val="ListParagraph"/>
      </w:pPr>
      <w:r>
        <w:t>Nature of the request and any reference numbers already issued.</w:t>
      </w:r>
    </w:p>
    <w:p>
      <w:pPr>
        <w:pStyle w:val="ListParagraph"/>
      </w:pPr>
      <w:r>
        <w:t>Relevant transaction or ticket ID, where applicable.</w:t>
      </w:r>
    </w:p>
    <w:p>
      <w:pPr>
        <w:pStyle w:val="Heading1"/>
      </w:pPr>
      <w:r>
        <w:t>Procedure</w:t>
      </w:r>
    </w:p>
    <w:p>
      <w:pPr>
        <w:pStyle w:val="ListParagraph"/>
      </w:pPr>
      <w:r>
        <w:t>Check Activation Status for a rejection or pending-reason code.</w:t>
      </w:r>
    </w:p>
    <w:p>
      <w:pPr>
        <w:pStyle w:val="ListParagraph"/>
      </w:pPr>
      <w:r>
        <w:t>If KYC document mismatch is the cause, contact customer for re-submission.</w:t>
      </w:r>
    </w:p>
    <w:p>
      <w:pPr>
        <w:pStyle w:val="ListParagraph"/>
      </w:pPr>
      <w:r>
        <w:t>If a provisioning delay is confirmed with no document issue, escalate to Network Provisioning for manual activation.</w:t>
      </w:r>
    </w:p>
    <w:p>
      <w:pPr>
        <w:pStyle w:val="ListParagraph"/>
      </w:pPr>
      <w:r>
        <w:t>Target resolution: 48 hours (prepaid), 72 hours (postpaid) from original activation request.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Action</w:t>
            </w:r>
          </w:p>
        </w:tc>
        <w:tc>
          <w:tcPr>
            <w:tcW w:type="dxa" w:w="2160"/>
          </w:tcPr>
          <w:p>
            <w:r>
              <w:t>Expected Result</w:t>
            </w:r>
          </w:p>
        </w:tc>
        <w:tc>
          <w:tcPr>
            <w:tcW w:type="dxa" w:w="2160"/>
          </w:tcPr>
          <w:p>
            <w:r>
              <w:t>If Failed</w:t>
            </w:r>
          </w:p>
        </w:tc>
      </w:tr>
      <w:tr>
        <w:tc>
          <w:tcPr>
            <w:tcW w:type="dxa" w:w="2160"/>
          </w:tcPr>
          <w:p>
            <w:r>
              <w:t>1</w:t>
            </w:r>
          </w:p>
        </w:tc>
        <w:tc>
          <w:tcPr>
            <w:tcW w:type="dxa" w:w="2160"/>
          </w:tcPr>
          <w:p>
            <w:r>
              <w:t>Check Activation Status for a rejection or pending-reason code.</w:t>
            </w:r>
          </w:p>
        </w:tc>
        <w:tc>
          <w:tcPr>
            <w:tcW w:type="dxa" w:w="2160"/>
          </w:tcPr>
          <w:p>
            <w:r>
              <w:t>Request progressed / resolved</w:t>
            </w:r>
          </w:p>
        </w:tc>
        <w:tc>
          <w:tcPr>
            <w:tcW w:type="dxa" w:w="2160"/>
          </w:tcPr>
          <w:p>
            <w:r>
              <w:t>Escalate to next tier</w:t>
            </w:r>
          </w:p>
        </w:tc>
      </w:tr>
      <w:tr>
        <w:tc>
          <w:tcPr>
            <w:tcW w:type="dxa" w:w="2160"/>
          </w:tcPr>
          <w:p>
            <w:r>
              <w:t>2</w:t>
            </w:r>
          </w:p>
        </w:tc>
        <w:tc>
          <w:tcPr>
            <w:tcW w:type="dxa" w:w="2160"/>
          </w:tcPr>
          <w:p>
            <w:r>
              <w:t>If KYC document mismatch is the cause, contact customer for re-submiss</w:t>
            </w:r>
          </w:p>
        </w:tc>
        <w:tc>
          <w:tcPr>
            <w:tcW w:type="dxa" w:w="2160"/>
          </w:tcPr>
          <w:p>
            <w:r>
              <w:t>Request progressed / resolved</w:t>
            </w:r>
          </w:p>
        </w:tc>
        <w:tc>
          <w:tcPr>
            <w:tcW w:type="dxa" w:w="2160"/>
          </w:tcPr>
          <w:p>
            <w:r>
              <w:t>Escalate to next tier</w:t>
            </w:r>
          </w:p>
        </w:tc>
      </w:tr>
      <w:tr>
        <w:tc>
          <w:tcPr>
            <w:tcW w:type="dxa" w:w="2160"/>
          </w:tcPr>
          <w:p>
            <w:r>
              <w:t>3</w:t>
            </w:r>
          </w:p>
        </w:tc>
        <w:tc>
          <w:tcPr>
            <w:tcW w:type="dxa" w:w="2160"/>
          </w:tcPr>
          <w:p>
            <w:r>
              <w:t xml:space="preserve">If a provisioning delay is confirmed with no document issue, escalate </w:t>
            </w:r>
          </w:p>
        </w:tc>
        <w:tc>
          <w:tcPr>
            <w:tcW w:type="dxa" w:w="2160"/>
          </w:tcPr>
          <w:p>
            <w:r>
              <w:t>Request progressed / resolved</w:t>
            </w:r>
          </w:p>
        </w:tc>
        <w:tc>
          <w:tcPr>
            <w:tcW w:type="dxa" w:w="2160"/>
          </w:tcPr>
          <w:p>
            <w:r>
              <w:t>Escalate to next tier</w:t>
            </w:r>
          </w:p>
        </w:tc>
      </w:tr>
      <w:tr>
        <w:tc>
          <w:tcPr>
            <w:tcW w:type="dxa" w:w="2160"/>
          </w:tcPr>
          <w:p>
            <w:r>
              <w:t>4</w:t>
            </w:r>
          </w:p>
        </w:tc>
        <w:tc>
          <w:tcPr>
            <w:tcW w:type="dxa" w:w="2160"/>
          </w:tcPr>
          <w:p>
            <w:r>
              <w:t>Target resolution: 48 hours (prepaid), 72 hours (postpaid) from origin</w:t>
            </w:r>
          </w:p>
        </w:tc>
        <w:tc>
          <w:tcPr>
            <w:tcW w:type="dxa" w:w="2160"/>
          </w:tcPr>
          <w:p>
            <w:r>
              <w:t>Request progressed / resolved</w:t>
            </w:r>
          </w:p>
        </w:tc>
        <w:tc>
          <w:tcPr>
            <w:tcW w:type="dxa" w:w="2160"/>
          </w:tcPr>
          <w:p>
            <w:r>
              <w:t>Escalate to next tier</w:t>
            </w:r>
          </w:p>
        </w:tc>
      </w:tr>
    </w:tbl>
    <w:p>
      <w:pPr>
        <w:pStyle w:val="Heading1"/>
      </w:pPr>
      <w:r>
        <w:t>Decision Points</w:t>
      </w:r>
    </w:p>
    <w:p>
      <w:pPr>
        <w:pStyle w:val="ListParagraph"/>
      </w:pPr>
      <w:r>
        <w:t>If the request falls outside standard criteria, route for manual review before proceeding.</w:t>
      </w:r>
    </w:p>
    <w:p>
      <w:pPr>
        <w:pStyle w:val="ListParagraph"/>
      </w:pPr>
      <w:r>
        <w:t>If suspected fraud indicators are present at any step, halt standard processing and route per the Fraud &amp; Security Response SOP.</w:t>
      </w:r>
    </w:p>
    <w:p>
      <w:pPr>
        <w:pStyle w:val="Heading1"/>
      </w:pPr>
      <w:r>
        <w:t>Exception Handling</w:t>
      </w:r>
    </w:p>
    <w:p>
      <w:pPr>
        <w:pStyle w:val="ListParagraph"/>
      </w:pPr>
      <w:r>
        <w:t>Cases outside standard scope require supervisor sign-off before proceeding.</w:t>
      </w:r>
    </w:p>
    <w:p>
      <w:pPr>
        <w:pStyle w:val="Heading1"/>
      </w:pPr>
      <w:r>
        <w:t>Validation</w:t>
      </w:r>
    </w:p>
    <w:p>
      <w:r>
        <w:t>Confirm the account/system reflects the expected end state before the case is closed, and obtain customer confirmation where applicable.</w:t>
      </w:r>
    </w:p>
    <w:p>
      <w:pPr>
        <w:pStyle w:val="Heading1"/>
      </w:pPr>
      <w:r>
        <w:t>Escalation</w:t>
      </w:r>
    </w:p>
    <w:p>
      <w:pPr>
        <w:pStyle w:val="ListParagraph"/>
      </w:pPr>
      <w:r>
        <w:t>Where first-line steps do not resolve the issue within the stated timeframe, the case is escalated to the next tier with full interaction history attached, and the customer is informed of the new reference and expected timeline.</w:t>
      </w:r>
    </w:p>
    <w:p>
      <w:pPr>
        <w:pStyle w:val="Heading1"/>
      </w:pPr>
      <w:r>
        <w:t>SLA / Timing</w:t>
      </w:r>
    </w:p>
    <w:p>
      <w:r>
        <w:t>Standard cases are resolved within 24-48 hours; escalated cases carry a 3-5 working day SLA.</w:t>
      </w:r>
    </w:p>
    <w:p>
      <w:pPr>
        <w:pStyle w:val="Heading1"/>
      </w:pPr>
      <w:r>
        <w:t>Audit Requirements</w:t>
      </w:r>
    </w:p>
    <w:p>
      <w:r>
        <w:t>Every action taken under this SOP must be logged against the account with agent ID, timestamp, and outcome for audit and quality-review purposes.</w:t>
      </w:r>
    </w:p>
    <w:p>
      <w:pPr>
        <w:pStyle w:val="Heading1"/>
      </w:pPr>
      <w:r>
        <w:t>Related Documents</w:t>
      </w:r>
    </w:p>
    <w:p>
      <w:r>
        <w:t>KB_C22_new_activation_delay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