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Prepaid &amp; Postpaid Plan Lifecycle Policy</w:t>
      </w:r>
    </w:p>
    <w:p/>
    <w:p>
      <w:r>
        <w:t>Document ID: Policy_C02_plan_lifecycle</w:t>
      </w:r>
    </w:p>
    <w:p>
      <w:r>
        <w:t>Category: C02 — Plans &amp; Subscriptions</w:t>
      </w:r>
    </w:p>
    <w:p>
      <w:r>
        <w:t>Department: Product</w:t>
      </w:r>
    </w:p>
    <w:p>
      <w:r>
        <w:t>Customer Scope: all</w:t>
      </w:r>
    </w:p>
    <w:p>
      <w:r>
        <w:t>Version: 1.0    Last Updated: 2026-08-08    Source Authority: Internal Knowledge Base</w:t>
      </w:r>
    </w:p>
    <w:p/>
    <w:p>
      <w:pPr>
        <w:pStyle w:val="Heading1"/>
      </w:pPr>
      <w:r>
        <w:t>Policy Statement</w:t>
      </w:r>
    </w:p>
    <w:p>
      <w:r>
        <w:t>This policy governs the lifecycle of prepaid and postpaid plans, including activation, validity, renewal, and expiry-related service treatment.</w:t>
      </w:r>
    </w:p>
    <w:p>
      <w:pPr>
        <w:pStyle w:val="Heading1"/>
      </w:pPr>
      <w:r>
        <w:t>Purpose</w:t>
      </w:r>
    </w:p>
    <w:p>
      <w:r>
        <w:t>Ensures consistent, compliant, and customer-fair treatment across all channels and customer segments.</w:t>
      </w:r>
    </w:p>
    <w:p>
      <w:pPr>
        <w:pStyle w:val="Heading1"/>
      </w:pPr>
      <w:r>
        <w:t>Scope</w:t>
      </w:r>
    </w:p>
    <w:p>
      <w:r>
        <w:t>Applies to all prepaid, postpaid, and (where noted) enterprise customers, and to all NovaTel-authorised channels.</w:t>
      </w:r>
    </w:p>
    <w:p>
      <w:pPr>
        <w:pStyle w:val="Heading1"/>
      </w:pPr>
      <w:r>
        <w:t>Definitions</w:t>
      </w:r>
    </w:p>
    <w:p>
      <w:pPr>
        <w:pStyle w:val="ListParagraph"/>
      </w:pPr>
      <w:r>
        <w:t>**Customer** — any individual or entity holding an active NovaTel connection or account.</w:t>
      </w:r>
    </w:p>
    <w:p>
      <w:pPr>
        <w:pStyle w:val="ListParagraph"/>
      </w:pPr>
      <w:r>
        <w:t>**Working day** — a business day excluding weekends and public holidays.</w:t>
      </w:r>
    </w:p>
    <w:p>
      <w:pPr>
        <w:pStyle w:val="Heading1"/>
      </w:pPr>
      <w:r>
        <w:t>Eligibility</w:t>
      </w:r>
    </w:p>
    <w:p>
      <w:r>
        <w:t>Applies to customers with an active, KYC-verified account in good standing, subject to the rules and exceptions below.</w:t>
      </w:r>
    </w:p>
    <w:p>
      <w:pPr>
        <w:pStyle w:val="Heading1"/>
      </w:pPr>
      <w:r>
        <w:t>Rules</w:t>
      </w:r>
    </w:p>
    <w:p>
      <w:pPr>
        <w:pStyle w:val="ListParagraph"/>
      </w:pPr>
      <w:r>
        <w:t>Prepaid plan validity begins at the moment of successful activation and is fixed for the stated duration (e.g., 28/56/84/365 days).</w:t>
      </w:r>
    </w:p>
    <w:p>
      <w:pPr>
        <w:pStyle w:val="ListParagraph"/>
      </w:pPr>
      <w:r>
        <w:t>On expiry, outgoing services are suspended; incoming services continue for a grace period defined by plan type and licence conditions.</w:t>
      </w:r>
    </w:p>
    <w:p>
      <w:pPr>
        <w:pStyle w:val="ListParagraph"/>
      </w:pPr>
      <w:r>
        <w:t>Postpaid plan changes take effect either immediately (with pro-rated charges) or from the next billing cycle, per the customer's selection at the time of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Applies To</w:t>
            </w:r>
          </w:p>
        </w:tc>
        <w:tc>
          <w:tcPr>
            <w:tcW w:type="dxa" w:w="2880"/>
          </w:tcPr>
          <w:p>
            <w:r>
              <w:t>Exception</w:t>
            </w:r>
          </w:p>
        </w:tc>
      </w:tr>
      <w:tr>
        <w:tc>
          <w:tcPr>
            <w:tcW w:type="dxa" w:w="2880"/>
          </w:tcPr>
          <w:p>
            <w:r>
              <w:t>Prepaid plan validity begins at the moment of successful act</w:t>
            </w:r>
          </w:p>
        </w:tc>
        <w:tc>
          <w:tcPr>
            <w:tcW w:type="dxa" w:w="2880"/>
          </w:tcPr>
          <w:p>
            <w:r>
              <w:t>All customers</w:t>
            </w:r>
          </w:p>
        </w:tc>
        <w:tc>
          <w:tcPr>
            <w:tcW w:type="dxa" w:w="2880"/>
          </w:tcPr>
          <w:p>
            <w:r>
              <w:t>See Exceptions</w:t>
            </w:r>
          </w:p>
        </w:tc>
      </w:tr>
      <w:tr>
        <w:tc>
          <w:tcPr>
            <w:tcW w:type="dxa" w:w="2880"/>
          </w:tcPr>
          <w:p>
            <w:r>
              <w:t>On expiry, outgoing services are suspended; incoming service</w:t>
            </w:r>
          </w:p>
        </w:tc>
        <w:tc>
          <w:tcPr>
            <w:tcW w:type="dxa" w:w="2880"/>
          </w:tcPr>
          <w:p>
            <w:r>
              <w:t>All customers</w:t>
            </w:r>
          </w:p>
        </w:tc>
        <w:tc>
          <w:tcPr>
            <w:tcW w:type="dxa" w:w="2880"/>
          </w:tcPr>
          <w:p>
            <w:r>
              <w:t>See Exceptions</w:t>
            </w:r>
          </w:p>
        </w:tc>
      </w:tr>
    </w:tbl>
    <w:p>
      <w:pPr>
        <w:pStyle w:val="Heading1"/>
      </w:pPr>
      <w:r>
        <w:t>Exceptions</w:t>
      </w:r>
    </w:p>
    <w:p>
      <w:pPr>
        <w:pStyle w:val="ListParagraph"/>
      </w:pPr>
      <w:r>
        <w:t>Enterprise pooled plans follow the terms of the signed commercial agreement, which may override standard individual-plan lifecycle rules.</w:t>
      </w:r>
    </w:p>
    <w:p>
      <w:pPr>
        <w:pStyle w:val="Heading1"/>
      </w:pPr>
      <w:r>
        <w:t>Approval Requirements</w:t>
      </w:r>
    </w:p>
    <w:p>
      <w:r>
        <w:t>Exceptions to standard rules require documented supervisor or department-head approval before being applied.</w:t>
      </w:r>
    </w:p>
    <w:p>
      <w:pPr>
        <w:pStyle w:val="Heading1"/>
      </w:pPr>
      <w:r>
        <w:t>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Party</w:t>
            </w:r>
          </w:p>
        </w:tc>
        <w:tc>
          <w:tcPr>
            <w:tcW w:type="dxa" w:w="4320"/>
          </w:tcPr>
          <w:p>
            <w:r>
              <w:t>Responsibility</w:t>
            </w:r>
          </w:p>
        </w:tc>
      </w:tr>
      <w:tr>
        <w:tc>
          <w:tcPr>
            <w:tcW w:type="dxa" w:w="4320"/>
          </w:tcPr>
          <w:p>
            <w:r>
              <w:t>Product</w:t>
            </w:r>
          </w:p>
        </w:tc>
        <w:tc>
          <w:tcPr>
            <w:tcW w:type="dxa" w:w="4320"/>
          </w:tcPr>
          <w:p>
            <w:r>
              <w:t>Maintain and apply this policy consistently</w:t>
            </w:r>
          </w:p>
        </w:tc>
      </w:tr>
      <w:tr>
        <w:tc>
          <w:tcPr>
            <w:tcW w:type="dxa" w:w="4320"/>
          </w:tcPr>
          <w:p>
            <w:r>
              <w:t>Customer Care</w:t>
            </w:r>
          </w:p>
        </w:tc>
        <w:tc>
          <w:tcPr>
            <w:tcW w:type="dxa" w:w="4320"/>
          </w:tcPr>
          <w:p>
            <w:r>
              <w:t>Communicate policy outcomes clearly to customers</w:t>
            </w:r>
          </w:p>
        </w:tc>
      </w:tr>
      <w:tr>
        <w:tc>
          <w:tcPr>
            <w:tcW w:type="dxa" w:w="4320"/>
          </w:tcPr>
          <w:p>
            <w:r>
              <w:t>Compliance</w:t>
            </w:r>
          </w:p>
        </w:tc>
        <w:tc>
          <w:tcPr>
            <w:tcW w:type="dxa" w:w="4320"/>
          </w:tcPr>
          <w:p>
            <w:r>
              <w:t>Periodically audit adherence to this policy</w:t>
            </w:r>
          </w:p>
        </w:tc>
      </w:tr>
    </w:tbl>
    <w:p>
      <w:pPr>
        <w:pStyle w:val="Heading1"/>
      </w:pPr>
      <w:r>
        <w:t>Compliance Requirements</w:t>
      </w:r>
    </w:p>
    <w:p>
      <w:r>
        <w:t>This policy is designed to align with applicable regulatory requirements (e.g. TRAI/DoT guidance) as general background context; it is not a substitute for legal advice.</w:t>
      </w:r>
    </w:p>
    <w:p>
      <w:pPr>
        <w:pStyle w:val="Heading1"/>
      </w:pPr>
      <w:r>
        <w:t>Audit Considerations</w:t>
      </w:r>
    </w:p>
    <w:p>
      <w:r>
        <w:t>All exceptions and manual overrides must be logged with justification for periodic audit review.</w:t>
      </w:r>
    </w:p>
    <w:p>
      <w:pPr>
        <w:pStyle w:val="Heading1"/>
      </w:pPr>
      <w:r>
        <w:t>Escalation</w:t>
      </w:r>
    </w:p>
    <w:p>
      <w:pPr>
        <w:pStyle w:val="ListParagraph"/>
      </w:pPr>
      <w:r>
        <w:t>Where first-line steps do not resolve the issue within the stated timeframe, the case is escalated to the next tier with full interaction history attached, and the customer is informed of the new reference and expected timeline.</w:t>
      </w:r>
    </w:p>
    <w:p>
      <w:pPr>
        <w:pStyle w:val="Heading1"/>
      </w:pPr>
      <w:r>
        <w:t>Effective Date / Version</w:t>
      </w:r>
    </w:p>
    <w:p>
      <w:r>
        <w:t>Version 1.0, effective 2026-08-08.</w:t>
      </w:r>
    </w:p>
    <w:p>
      <w:pPr>
        <w:pStyle w:val="Heading1"/>
      </w:pPr>
      <w:r>
        <w:t>Review Cycle</w:t>
      </w:r>
    </w:p>
    <w:p>
      <w:r>
        <w:t>This policy is reviewed annually or upon material regulatory change, whichever is earlier.</w:t>
      </w:r>
    </w:p>
    <w:p>
      <w:pPr>
        <w:pStyle w:val="Heading1"/>
      </w:pPr>
      <w:r>
        <w:t>Related Documents</w:t>
      </w:r>
    </w:p>
    <w:p>
      <w:r>
        <w:t>No directly linked documents are recorded for this item; refer to the relevant department for further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