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Refunds and Billing Adjustments Policy</w:t>
      </w:r>
    </w:p>
    <w:p/>
    <w:p>
      <w:r>
        <w:t>Document ID: Policy_C20_refund_policy</w:t>
      </w:r>
    </w:p>
    <w:p>
      <w:r>
        <w:t>Category: C20 — Refunds &amp; Adjustments</w:t>
      </w:r>
    </w:p>
    <w:p>
      <w:r>
        <w:t>Department: Billing</w:t>
      </w:r>
    </w:p>
    <w:p>
      <w:r>
        <w:t>Customer Scope: all</w:t>
      </w:r>
    </w:p>
    <w:p>
      <w:r>
        <w:t>Version: 1.0    Last Updated: 2026-08-08    Source Authority: Internal Knowledge Base</w:t>
      </w:r>
    </w:p>
    <w:p/>
    <w:p>
      <w:pPr>
        <w:pStyle w:val="Heading1"/>
      </w:pPr>
      <w:r>
        <w:t>Policy Statement</w:t>
      </w:r>
    </w:p>
    <w:p>
      <w:r>
        <w:t>Defines eligibility and timelines for refunds arising from duplicate charges, billing errors, or service-credit commitments.</w:t>
      </w:r>
    </w:p>
    <w:p>
      <w:pPr>
        <w:pStyle w:val="Heading1"/>
      </w:pPr>
      <w:r>
        <w:t>Purpose</w:t>
      </w:r>
    </w:p>
    <w:p>
      <w:r>
        <w:t>Ensures consistent, compliant, and customer-fair treatment across all channels and customer segments.</w:t>
      </w:r>
    </w:p>
    <w:p>
      <w:pPr>
        <w:pStyle w:val="Heading1"/>
      </w:pPr>
      <w:r>
        <w:t>Scope</w:t>
      </w:r>
    </w:p>
    <w:p>
      <w:r>
        <w:t>Applies to all prepaid, postpaid, and (where noted) enterprise customers, and to all NovaTel-authorised channels.</w:t>
      </w:r>
    </w:p>
    <w:p>
      <w:pPr>
        <w:pStyle w:val="Heading1"/>
      </w:pPr>
      <w:r>
        <w:t>Definitions</w:t>
      </w:r>
    </w:p>
    <w:p>
      <w:pPr>
        <w:pStyle w:val="ListParagraph"/>
      </w:pPr>
      <w:r>
        <w:t>**Customer** — any individual or entity holding an active NovaTel connection or account.</w:t>
      </w:r>
    </w:p>
    <w:p>
      <w:pPr>
        <w:pStyle w:val="ListParagraph"/>
      </w:pPr>
      <w:r>
        <w:t>**Working day** — a business day excluding weekends and public holidays.</w:t>
      </w:r>
    </w:p>
    <w:p>
      <w:pPr>
        <w:pStyle w:val="Heading1"/>
      </w:pPr>
      <w:r>
        <w:t>Eligibility</w:t>
      </w:r>
    </w:p>
    <w:p>
      <w:r>
        <w:t>Applies to customers with an active, KYC-verified account in good standing, subject to the rules and exceptions below.</w:t>
      </w:r>
    </w:p>
    <w:p>
      <w:pPr>
        <w:pStyle w:val="Heading1"/>
      </w:pPr>
      <w:r>
        <w:t>Rules</w:t>
      </w:r>
    </w:p>
    <w:p>
      <w:pPr>
        <w:pStyle w:val="ListParagraph"/>
      </w:pPr>
      <w:r>
        <w:t>Confirmed duplicate or erroneous charges are refunded in full.</w:t>
      </w:r>
    </w:p>
    <w:p>
      <w:pPr>
        <w:pStyle w:val="ListParagraph"/>
      </w:pPr>
      <w:r>
        <w:t>Refunds to source payment methods are processed within 5-7 working days of approval; account-balance credits are processed within 24 hours.</w:t>
      </w:r>
    </w:p>
    <w:p>
      <w:pPr>
        <w:pStyle w:val="ListParagraph"/>
      </w:pPr>
      <w:r>
        <w:t>SLA-breach service credits (e.g., broadband downtime) are applied automatically without requiring a customer request.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Rule</w:t>
            </w:r>
          </w:p>
        </w:tc>
        <w:tc>
          <w:tcPr>
            <w:tcW w:type="dxa" w:w="2880"/>
          </w:tcPr>
          <w:p>
            <w:r>
              <w:t>Applies To</w:t>
            </w:r>
          </w:p>
        </w:tc>
        <w:tc>
          <w:tcPr>
            <w:tcW w:type="dxa" w:w="2880"/>
          </w:tcPr>
          <w:p>
            <w:r>
              <w:t>Exception</w:t>
            </w:r>
          </w:p>
        </w:tc>
      </w:tr>
      <w:tr>
        <w:tc>
          <w:tcPr>
            <w:tcW w:type="dxa" w:w="2880"/>
          </w:tcPr>
          <w:p>
            <w:r>
              <w:t>Confirmed duplicate or erroneous charges are refunded in ful</w:t>
            </w:r>
          </w:p>
        </w:tc>
        <w:tc>
          <w:tcPr>
            <w:tcW w:type="dxa" w:w="2880"/>
          </w:tcPr>
          <w:p>
            <w:r>
              <w:t>All customers</w:t>
            </w:r>
          </w:p>
        </w:tc>
        <w:tc>
          <w:tcPr>
            <w:tcW w:type="dxa" w:w="2880"/>
          </w:tcPr>
          <w:p>
            <w:r>
              <w:t>See Exceptions</w:t>
            </w:r>
          </w:p>
        </w:tc>
      </w:tr>
      <w:tr>
        <w:tc>
          <w:tcPr>
            <w:tcW w:type="dxa" w:w="2880"/>
          </w:tcPr>
          <w:p>
            <w:r>
              <w:t>Refunds to source payment methods are processed within 5-7 w</w:t>
            </w:r>
          </w:p>
        </w:tc>
        <w:tc>
          <w:tcPr>
            <w:tcW w:type="dxa" w:w="2880"/>
          </w:tcPr>
          <w:p>
            <w:r>
              <w:t>All customers</w:t>
            </w:r>
          </w:p>
        </w:tc>
        <w:tc>
          <w:tcPr>
            <w:tcW w:type="dxa" w:w="2880"/>
          </w:tcPr>
          <w:p>
            <w:r>
              <w:t>See Exceptions</w:t>
            </w:r>
          </w:p>
        </w:tc>
      </w:tr>
    </w:tbl>
    <w:p>
      <w:pPr>
        <w:pStyle w:val="Heading1"/>
      </w:pPr>
      <w:r>
        <w:t>Exceptions</w:t>
      </w:r>
    </w:p>
    <w:p>
      <w:pPr>
        <w:pStyle w:val="ListParagraph"/>
      </w:pPr>
      <w:r>
        <w:t>Enterprise/pooled accounts may follow their signed commercial agreement instead.</w:t>
      </w:r>
    </w:p>
    <w:p>
      <w:pPr>
        <w:pStyle w:val="Heading1"/>
      </w:pPr>
      <w:r>
        <w:t>Approval Requirements</w:t>
      </w:r>
    </w:p>
    <w:p>
      <w:r>
        <w:t>Exceptions to standard rules require documented supervisor or department-head approval before being applied.</w:t>
      </w:r>
    </w:p>
    <w:p>
      <w:pPr>
        <w:pStyle w:val="Heading1"/>
      </w:pPr>
      <w:r>
        <w:t>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Party</w:t>
            </w:r>
          </w:p>
        </w:tc>
        <w:tc>
          <w:tcPr>
            <w:tcW w:type="dxa" w:w="4320"/>
          </w:tcPr>
          <w:p>
            <w:r>
              <w:t>Responsibility</w:t>
            </w:r>
          </w:p>
        </w:tc>
      </w:tr>
      <w:tr>
        <w:tc>
          <w:tcPr>
            <w:tcW w:type="dxa" w:w="4320"/>
          </w:tcPr>
          <w:p>
            <w:r>
              <w:t>Billing</w:t>
            </w:r>
          </w:p>
        </w:tc>
        <w:tc>
          <w:tcPr>
            <w:tcW w:type="dxa" w:w="4320"/>
          </w:tcPr>
          <w:p>
            <w:r>
              <w:t>Maintain and apply this policy consistently</w:t>
            </w:r>
          </w:p>
        </w:tc>
      </w:tr>
      <w:tr>
        <w:tc>
          <w:tcPr>
            <w:tcW w:type="dxa" w:w="4320"/>
          </w:tcPr>
          <w:p>
            <w:r>
              <w:t>Customer Care</w:t>
            </w:r>
          </w:p>
        </w:tc>
        <w:tc>
          <w:tcPr>
            <w:tcW w:type="dxa" w:w="4320"/>
          </w:tcPr>
          <w:p>
            <w:r>
              <w:t>Communicate policy outcomes clearly to customers</w:t>
            </w:r>
          </w:p>
        </w:tc>
      </w:tr>
      <w:tr>
        <w:tc>
          <w:tcPr>
            <w:tcW w:type="dxa" w:w="4320"/>
          </w:tcPr>
          <w:p>
            <w:r>
              <w:t>Compliance</w:t>
            </w:r>
          </w:p>
        </w:tc>
        <w:tc>
          <w:tcPr>
            <w:tcW w:type="dxa" w:w="4320"/>
          </w:tcPr>
          <w:p>
            <w:r>
              <w:t>Periodically audit adherence to this policy</w:t>
            </w:r>
          </w:p>
        </w:tc>
      </w:tr>
    </w:tbl>
    <w:p>
      <w:pPr>
        <w:pStyle w:val="Heading1"/>
      </w:pPr>
      <w:r>
        <w:t>Compliance Requirements</w:t>
      </w:r>
    </w:p>
    <w:p>
      <w:r>
        <w:t>This policy is designed to align with applicable regulatory requirements (e.g. TRAI/DoT guidance) as general background context; it is not a substitute for legal advice.</w:t>
      </w:r>
    </w:p>
    <w:p>
      <w:pPr>
        <w:pStyle w:val="Heading1"/>
      </w:pPr>
      <w:r>
        <w:t>Audit Considerations</w:t>
      </w:r>
    </w:p>
    <w:p>
      <w:r>
        <w:t>All exceptions and manual overrides must be logged with justification for periodic audit review.</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Effective Date / Version</w:t>
      </w:r>
    </w:p>
    <w:p>
      <w:r>
        <w:t>Version 1.0, effective 2026-08-08.</w:t>
      </w:r>
    </w:p>
    <w:p>
      <w:pPr>
        <w:pStyle w:val="Heading1"/>
      </w:pPr>
      <w:r>
        <w:t>Review Cycle</w:t>
      </w:r>
    </w:p>
    <w:p>
      <w:r>
        <w:t>This policy is reviewed annually or upon material regulatory change, whichever is earlier.</w:t>
      </w:r>
    </w:p>
    <w:p>
      <w:pPr>
        <w:pStyle w:val="Heading1"/>
      </w:pPr>
      <w:r>
        <w:t>Related Documents</w:t>
      </w:r>
    </w:p>
    <w:p>
      <w:r>
        <w:t>No directly linked documents are recorded for this item; refer to the relevant department for further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