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&amp; Business Connectivity Commercial Policy</w:t>
      </w:r>
    </w:p>
    <w:p/>
    <w:p>
      <w:r>
        <w:t>Document ID: Policy_C23_enterprise_terms</w:t>
      </w:r>
    </w:p>
    <w:p>
      <w:r>
        <w:t>Category: C23 — Enterprise &amp; Business Services</w:t>
      </w:r>
    </w:p>
    <w:p>
      <w:r>
        <w:t>Department: Enterprise Sales</w:t>
      </w:r>
    </w:p>
    <w:p>
      <w:r>
        <w:t>Customer Scope: all</w:t>
      </w:r>
    </w:p>
    <w:p>
      <w:r>
        <w:t>Version: 1.0    Last Updated: 2026-08-08    Source Authority: Internal Knowledge Base</w:t>
      </w:r>
    </w:p>
    <w:p/>
    <w:p>
      <w:pPr>
        <w:pStyle w:val="Heading1"/>
      </w:pPr>
      <w:r>
        <w:t>Policy Statement</w:t>
      </w:r>
    </w:p>
    <w:p>
      <w:r>
        <w:t>Sets the general commercial and service framework for enterprise and business customers, superseded in specifics by individually signed agreements.</w:t>
      </w:r>
    </w:p>
    <w:p>
      <w:pPr>
        <w:pStyle w:val="Heading1"/>
      </w:pPr>
      <w:r>
        <w:t>Purpose</w:t>
      </w:r>
    </w:p>
    <w:p>
      <w:r>
        <w:t>Ensures consistent, compliant, and customer-fair treatment across all channels and customer segments.</w:t>
      </w:r>
    </w:p>
    <w:p>
      <w:pPr>
        <w:pStyle w:val="Heading1"/>
      </w:pPr>
      <w:r>
        <w:t>Scope</w:t>
      </w:r>
    </w:p>
    <w:p>
      <w:r>
        <w:t>Applies to all prepaid, postpaid, and (where noted) enterprise customers, and to all NovaTel-authorised channels.</w:t>
      </w:r>
    </w:p>
    <w:p>
      <w:pPr>
        <w:pStyle w:val="Heading1"/>
      </w:pPr>
      <w:r>
        <w:t>Definitions</w:t>
      </w:r>
    </w:p>
    <w:p>
      <w:pPr>
        <w:pStyle w:val="ListParagraph"/>
      </w:pPr>
      <w:r>
        <w:t>**Customer** — any individual or entity holding an active NovaTel connection or account.</w:t>
      </w:r>
    </w:p>
    <w:p>
      <w:pPr>
        <w:pStyle w:val="ListParagraph"/>
      </w:pPr>
      <w:r>
        <w:t>**Working day** — a business day excluding weekends and public holidays.</w:t>
      </w:r>
    </w:p>
    <w:p>
      <w:pPr>
        <w:pStyle w:val="Heading1"/>
      </w:pPr>
      <w:r>
        <w:t>Eligibility</w:t>
      </w:r>
    </w:p>
    <w:p>
      <w:r>
        <w:t>Applies to customers with an active, KYC-verified account in good standing, subject to the rules and exceptions below.</w:t>
      </w:r>
    </w:p>
    <w:p>
      <w:pPr>
        <w:pStyle w:val="Heading1"/>
      </w:pPr>
      <w:r>
        <w:t>Rules</w:t>
      </w:r>
    </w:p>
    <w:p>
      <w:pPr>
        <w:pStyle w:val="ListParagraph"/>
      </w:pPr>
      <w:r>
        <w:t>Enterprise pricing is volume-tiered and subject to a minimum committed line count.</w:t>
      </w:r>
    </w:p>
    <w:p>
      <w:pPr>
        <w:pStyle w:val="ListParagraph"/>
      </w:pPr>
      <w:r>
        <w:t>Each enterprise account is assigned a dedicated Account Manager and centralised billing.</w:t>
      </w:r>
    </w:p>
    <w:p>
      <w:pPr>
        <w:pStyle w:val="ListParagraph"/>
      </w:pPr>
      <w:r>
        <w:t>Service Level Agreements (SLAs) for connectivity uptime and fault-resolution time are defined per contract, typically stricter than standard consumer SLAs.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Applies To</w:t>
            </w:r>
          </w:p>
        </w:tc>
        <w:tc>
          <w:tcPr>
            <w:tcW w:type="dxa" w:w="2880"/>
          </w:tcPr>
          <w:p>
            <w:r>
              <w:t>Exception</w:t>
            </w:r>
          </w:p>
        </w:tc>
      </w:tr>
      <w:tr>
        <w:tc>
          <w:tcPr>
            <w:tcW w:type="dxa" w:w="2880"/>
          </w:tcPr>
          <w:p>
            <w:r>
              <w:t>Enterprise pricing is volume-tiered and subject to a minimum</w:t>
            </w:r>
          </w:p>
        </w:tc>
        <w:tc>
          <w:tcPr>
            <w:tcW w:type="dxa" w:w="2880"/>
          </w:tcPr>
          <w:p>
            <w:r>
              <w:t>All customers</w:t>
            </w:r>
          </w:p>
        </w:tc>
        <w:tc>
          <w:tcPr>
            <w:tcW w:type="dxa" w:w="2880"/>
          </w:tcPr>
          <w:p>
            <w:r>
              <w:t>See Exceptions</w:t>
            </w:r>
          </w:p>
        </w:tc>
      </w:tr>
      <w:tr>
        <w:tc>
          <w:tcPr>
            <w:tcW w:type="dxa" w:w="2880"/>
          </w:tcPr>
          <w:p>
            <w:r>
              <w:t>Each enterprise account is assigned a dedicated Account Mana</w:t>
            </w:r>
          </w:p>
        </w:tc>
        <w:tc>
          <w:tcPr>
            <w:tcW w:type="dxa" w:w="2880"/>
          </w:tcPr>
          <w:p>
            <w:r>
              <w:t>All customers</w:t>
            </w:r>
          </w:p>
        </w:tc>
        <w:tc>
          <w:tcPr>
            <w:tcW w:type="dxa" w:w="2880"/>
          </w:tcPr>
          <w:p>
            <w:r>
              <w:t>See Exceptions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Paragraph"/>
      </w:pPr>
      <w:r>
        <w:t>Enterprise/pooled accounts may follow their signed commercial agreement instead.</w:t>
      </w:r>
    </w:p>
    <w:p>
      <w:pPr>
        <w:pStyle w:val="Heading1"/>
      </w:pPr>
      <w:r>
        <w:t>Approval Requirements</w:t>
      </w:r>
    </w:p>
    <w:p>
      <w:r>
        <w:t>Exceptions to standard rules require documented supervisor or department-head approval before being applied.</w:t>
      </w:r>
    </w:p>
    <w:p>
      <w:pPr>
        <w:pStyle w:val="Heading1"/>
      </w:pPr>
      <w:r>
        <w:t>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Enterprise Sales</w:t>
            </w:r>
          </w:p>
        </w:tc>
        <w:tc>
          <w:tcPr>
            <w:tcW w:type="dxa" w:w="4320"/>
          </w:tcPr>
          <w:p>
            <w:r>
              <w:t>Maintain and apply this policy consistently</w:t>
            </w:r>
          </w:p>
        </w:tc>
      </w:tr>
      <w:tr>
        <w:tc>
          <w:tcPr>
            <w:tcW w:type="dxa" w:w="4320"/>
          </w:tcPr>
          <w:p>
            <w:r>
              <w:t>Customer Care</w:t>
            </w:r>
          </w:p>
        </w:tc>
        <w:tc>
          <w:tcPr>
            <w:tcW w:type="dxa" w:w="4320"/>
          </w:tcPr>
          <w:p>
            <w:r>
              <w:t>Communicate policy outcomes clearly to customers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Periodically audit adherence to this policy</w:t>
            </w:r>
          </w:p>
        </w:tc>
      </w:tr>
    </w:tbl>
    <w:p>
      <w:pPr>
        <w:pStyle w:val="Heading1"/>
      </w:pPr>
      <w:r>
        <w:t>Compliance Requirements</w:t>
      </w:r>
    </w:p>
    <w:p>
      <w:r>
        <w:t>This policy is designed to align with applicable regulatory requirements (e.g. TRAI/DoT guidance) as general background context; it is not a substitute for legal advice.</w:t>
      </w:r>
    </w:p>
    <w:p>
      <w:pPr>
        <w:pStyle w:val="Heading1"/>
      </w:pPr>
      <w:r>
        <w:t>Audit Considerations</w:t>
      </w:r>
    </w:p>
    <w:p>
      <w:r>
        <w:t>All exceptions and manual overrides must be logged with justification for periodic audit review.</w:t>
      </w:r>
    </w:p>
    <w:p>
      <w:pPr>
        <w:pStyle w:val="Heading1"/>
      </w:pPr>
      <w:r>
        <w:t>Escalation</w:t>
      </w:r>
    </w:p>
    <w:p>
      <w:pPr>
        <w:pStyle w:val="ListParagraph"/>
      </w:pPr>
      <w:r>
        <w:t>Unresolved cases are automatically flagged for supervisor review after the stated SLA window, ensuring no request is left without a defined next action.</w:t>
      </w:r>
    </w:p>
    <w:p>
      <w:pPr>
        <w:pStyle w:val="Heading1"/>
      </w:pPr>
      <w:r>
        <w:t>Effective Date / Version</w:t>
      </w:r>
    </w:p>
    <w:p>
      <w:r>
        <w:t>Version 1.0, effective 2026-08-08.</w:t>
      </w:r>
    </w:p>
    <w:p>
      <w:pPr>
        <w:pStyle w:val="Heading1"/>
      </w:pPr>
      <w:r>
        <w:t>Review Cycle</w:t>
      </w:r>
    </w:p>
    <w:p>
      <w:r>
        <w:t>This policy is reviewed annually or upon material regulatory change, whichever is earlier.</w:t>
      </w:r>
    </w:p>
    <w:p>
      <w:pPr>
        <w:pStyle w:val="Heading1"/>
      </w:pPr>
      <w:r>
        <w:t>Related Documents</w:t>
      </w:r>
    </w:p>
    <w:p>
      <w:r>
        <w:t>No directly linked documents are recorded for this item; refer to the relevant department for further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