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RCA: Duplicate Postpaid Billing Cycle Run (INC-2026-0163)</w:t>
      </w:r>
    </w:p>
    <w:p/>
    <w:p>
      <w:r>
        <w:t>Document ID: RCA_INC_2026_0163</w:t>
      </w:r>
    </w:p>
    <w:p>
      <w:r>
        <w:t>Category: C04 — Billing &amp; Invoices</w:t>
      </w:r>
    </w:p>
    <w:p>
      <w:r>
        <w:t>Department: Billing</w:t>
      </w:r>
    </w:p>
    <w:p>
      <w:r>
        <w:t>Customer Scope: all</w:t>
      </w:r>
    </w:p>
    <w:p>
      <w:r>
        <w:t>Version: 1.0    Last Updated: 2026-08-08    Source Authority: Internal Knowledge Base</w:t>
      </w:r>
    </w:p>
    <w:p/>
    <w:p>
      <w:pPr>
        <w:pStyle w:val="Heading1"/>
      </w:pPr>
      <w:r>
        <w:t>Incident Summary</w:t>
      </w:r>
    </w:p>
    <w:p>
      <w:r>
        <w:t>Approximately 12,000 postpaid customers were billed twice for the June cycle due to a duplicate batch-job execution.</w:t>
      </w:r>
    </w:p>
    <w:p>
      <w:r>
        <w:t>Incident Reference: INC-2026-0163</w:t>
      </w:r>
    </w:p>
    <w:p>
      <w:pPr>
        <w:pStyle w:val="Heading1"/>
      </w:pPr>
      <w:r>
        <w:t>Business Impact</w:t>
      </w:r>
    </w:p>
    <w:p>
      <w:r>
        <w:t>Customer-facing impact and any associated complaint/refund volume are tracked in the linked incident record and customer-care systems.</w:t>
      </w:r>
    </w:p>
    <w:p>
      <w:pPr>
        <w:pStyle w:val="Heading1"/>
      </w:pPr>
      <w:r>
        <w:t>Technical Impact</w:t>
      </w:r>
    </w:p>
    <w:p>
      <w:r>
        <w:t>Affected systems/sites and the duration of degraded or unavailable service are as recorded in the linked incident report.</w:t>
      </w:r>
    </w:p>
    <w:p>
      <w:pPr>
        <w:pStyle w:val="Heading1"/>
      </w:pPr>
      <w:r>
        <w:t>Detection</w:t>
      </w:r>
    </w:p>
    <w:p>
      <w:r>
        <w:t>Detected via monitoring/alarms or customer reports as documented in the linked incident report.</w:t>
      </w:r>
    </w:p>
    <w:p>
      <w:pPr>
        <w:pStyle w:val="Heading1"/>
      </w:pPr>
      <w:r>
        <w:t>Timeline</w:t>
      </w:r>
    </w:p>
    <w:tbl>
      <w:tblPr>
        <w:tblStyle w:val="LightGrid-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Event</w:t>
            </w:r>
          </w:p>
        </w:tc>
      </w:tr>
      <w:tr>
        <w:tc>
          <w:tcPr>
            <w:tcW w:type="dxa" w:w="4320"/>
          </w:tcPr>
          <w:p>
            <w:r>
              <w:t>T+0</w:t>
            </w:r>
          </w:p>
        </w:tc>
        <w:tc>
          <w:tcPr>
            <w:tcW w:type="dxa" w:w="4320"/>
          </w:tcPr>
          <w:p>
            <w:r>
              <w:t>Fault detected</w:t>
            </w:r>
          </w:p>
        </w:tc>
      </w:tr>
      <w:tr>
        <w:tc>
          <w:tcPr>
            <w:tcW w:type="dxa" w:w="4320"/>
          </w:tcPr>
          <w:p>
            <w:r>
              <w:t>T+X</w:t>
            </w:r>
          </w:p>
        </w:tc>
        <w:tc>
          <w:tcPr>
            <w:tcW w:type="dxa" w:w="4320"/>
          </w:tcPr>
          <w:p>
            <w:r>
              <w:t>Root cause identified</w:t>
            </w:r>
          </w:p>
        </w:tc>
      </w:tr>
      <w:tr>
        <w:tc>
          <w:tcPr>
            <w:tcW w:type="dxa" w:w="4320"/>
          </w:tcPr>
          <w:p>
            <w:r>
              <w:t>T+Y</w:t>
            </w:r>
          </w:p>
        </w:tc>
        <w:tc>
          <w:tcPr>
            <w:tcW w:type="dxa" w:w="4320"/>
          </w:tcPr>
          <w:p>
            <w:r>
              <w:t>Service restored</w:t>
            </w:r>
          </w:p>
        </w:tc>
      </w:tr>
    </w:tbl>
    <w:p>
      <w:pPr>
        <w:pStyle w:val="Heading1"/>
      </w:pPr>
      <w:r>
        <w:t>Root Cause</w:t>
      </w:r>
    </w:p>
    <w:p>
      <w:r>
        <w:t>A scheduler configuration change inadvertently left the previous month's billing job trigger active alongside the new one, causing the batch to fire twice for the same cycle.</w:t>
      </w:r>
    </w:p>
    <w:p>
      <w:pPr>
        <w:pStyle w:val="Heading1"/>
      </w:pPr>
      <w:r>
        <w:t>Contributing Factors</w:t>
      </w:r>
    </w:p>
    <w:p>
      <w:pPr>
        <w:pStyle w:val="ListParagraph"/>
      </w:pPr>
      <w:r>
        <w:t>Scheduler change was not validated against a full pre-production dry run covering trigger de-duplication.</w:t>
      </w:r>
    </w:p>
    <w:p>
      <w:pPr>
        <w:pStyle w:val="ListParagraph"/>
      </w:pPr>
      <w:r>
        <w:t>Automated reconciliation alerting caught the issue only after the second run completed, not before.</w:t>
      </w:r>
    </w:p>
    <w:p>
      <w:pPr>
        <w:pStyle w:val="Heading1"/>
      </w:pPr>
      <w:r>
        <w:t>Five Whys</w:t>
      </w:r>
    </w:p>
    <w:p>
      <w:r>
        <w:t>Why did the fault occur? Root cause as above. Why wasn't it prevented? Existing safeguards did not cover this failure mode. Why not? The scenario had not previously been observed at this scale, prompting the corrective actions below.</w:t>
      </w:r>
    </w:p>
    <w:p>
      <w:pPr>
        <w:pStyle w:val="Heading1"/>
      </w:pPr>
      <w:r>
        <w:t>Resolution</w:t>
      </w:r>
    </w:p>
    <w:p>
      <w:r>
        <w:t>Service was restored per the incident timeline; see linked incident report for full detail.</w:t>
      </w:r>
    </w:p>
    <w:p>
      <w:pPr>
        <w:pStyle w:val="Heading1"/>
      </w:pPr>
      <w:r>
        <w:t>Corrective Actions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Action</w:t>
            </w:r>
          </w:p>
        </w:tc>
        <w:tc>
          <w:tcPr>
            <w:tcW w:type="dxa" w:w="2880"/>
          </w:tcPr>
          <w:p>
            <w:r>
              <w:t>Owner</w:t>
            </w:r>
          </w:p>
        </w:tc>
        <w:tc>
          <w:tcPr>
            <w:tcW w:type="dxa" w:w="2880"/>
          </w:tcPr>
          <w:p>
            <w:r>
              <w:t>Target</w:t>
            </w:r>
          </w:p>
        </w:tc>
      </w:tr>
      <w:tr>
        <w:tc>
          <w:tcPr>
            <w:tcW w:type="dxa" w:w="2880"/>
          </w:tcPr>
          <w:p>
            <w:r>
              <w:t>Add a pre-execution duplicate-trigger check to the billing b</w:t>
            </w:r>
          </w:p>
        </w:tc>
        <w:tc>
          <w:tcPr>
            <w:tcW w:type="dxa" w:w="2880"/>
          </w:tcPr>
          <w:p>
            <w:r>
              <w:t>Billing</w:t>
            </w:r>
          </w:p>
        </w:tc>
        <w:tc>
          <w:tcPr>
            <w:tcW w:type="dxa" w:w="2880"/>
          </w:tcPr>
          <w:p>
            <w:r>
              <w:t>See status</w:t>
            </w:r>
          </w:p>
        </w:tc>
      </w:tr>
      <w:tr>
        <w:tc>
          <w:tcPr>
            <w:tcW w:type="dxa" w:w="2880"/>
          </w:tcPr>
          <w:p>
            <w:r>
              <w:t>Introduce a mandatory dry-run validation gate for all schedu</w:t>
            </w:r>
          </w:p>
        </w:tc>
        <w:tc>
          <w:tcPr>
            <w:tcW w:type="dxa" w:w="2880"/>
          </w:tcPr>
          <w:p>
            <w:r>
              <w:t>Billing</w:t>
            </w:r>
          </w:p>
        </w:tc>
        <w:tc>
          <w:tcPr>
            <w:tcW w:type="dxa" w:w="2880"/>
          </w:tcPr>
          <w:p>
            <w:r>
              <w:t>See status</w:t>
            </w:r>
          </w:p>
        </w:tc>
      </w:tr>
      <w:tr>
        <w:tc>
          <w:tcPr>
            <w:tcW w:type="dxa" w:w="2880"/>
          </w:tcPr>
          <w:p>
            <w:r>
              <w:t>Add a pre-completion alert threshold so duplicate runs are c</w:t>
            </w:r>
          </w:p>
        </w:tc>
        <w:tc>
          <w:tcPr>
            <w:tcW w:type="dxa" w:w="2880"/>
          </w:tcPr>
          <w:p>
            <w:r>
              <w:t>Billing</w:t>
            </w:r>
          </w:p>
        </w:tc>
        <w:tc>
          <w:tcPr>
            <w:tcW w:type="dxa" w:w="2880"/>
          </w:tcPr>
          <w:p>
            <w:r>
              <w:t>See status</w:t>
            </w:r>
          </w:p>
        </w:tc>
      </w:tr>
    </w:tbl>
    <w:p>
      <w:pPr>
        <w:pStyle w:val="ListParagraph"/>
      </w:pPr>
      <w:r>
        <w:t>Add a pre-execution duplicate-trigger check to the billing batch framework (target: 30 days).</w:t>
      </w:r>
    </w:p>
    <w:p>
      <w:pPr>
        <w:pStyle w:val="ListParagraph"/>
      </w:pPr>
      <w:r>
        <w:t>Introduce a mandatory dry-run validation gate for all scheduler configuration changes affecting billing (target: 45 days).</w:t>
      </w:r>
    </w:p>
    <w:p>
      <w:pPr>
        <w:pStyle w:val="ListParagraph"/>
      </w:pPr>
      <w:r>
        <w:t>Add a pre-completion alert threshold so duplicate runs are caught before charges are finalised, not only after.</w:t>
      </w:r>
    </w:p>
    <w:p>
      <w:pPr>
        <w:pStyle w:val="Heading1"/>
      </w:pPr>
      <w:r>
        <w:t>Preventive Actions</w:t>
      </w:r>
    </w:p>
    <w:p>
      <w:r>
        <w:t>Longer-term preventive measures are tracked alongside the corrective actions above and reviewed at the next governance cycle.</w:t>
      </w:r>
    </w:p>
    <w:p>
      <w:pPr>
        <w:pStyle w:val="Heading1"/>
      </w:pPr>
      <w:r>
        <w:t>Monitoring Changes</w:t>
      </w:r>
    </w:p>
    <w:p>
      <w:r>
        <w:t>Monitoring thresholds/alerts relevant to this failure mode are reviewed and updated where the investigation identified a detection gap.</w:t>
      </w:r>
    </w:p>
    <w:p>
      <w:pPr>
        <w:pStyle w:val="Heading1"/>
      </w:pPr>
      <w:r>
        <w:t>Ownership</w:t>
      </w:r>
    </w:p>
    <w:p>
      <w:r>
        <w:t>Action 1 completed; Actions 2-3 in progress; owner: Billing Engineering team.</w:t>
      </w:r>
    </w:p>
    <w:p>
      <w:pPr>
        <w:pStyle w:val="Heading1"/>
      </w:pPr>
      <w:r>
        <w:t>Status</w:t>
      </w:r>
    </w:p>
    <w:p>
      <w:r>
        <w:t>Action 1 completed; Actions 2-3 in progress; owner: Billing Engineering team.</w:t>
      </w:r>
    </w:p>
    <w:p>
      <w:pPr>
        <w:pStyle w:val="Heading1"/>
      </w:pPr>
      <w:r>
        <w:t>Related Documents</w:t>
      </w:r>
    </w:p>
    <w:p>
      <w:r>
        <w:t>Related documents: INC_INC_2026_0163.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