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RCA: Pune FTTH Regional Outage (INC-2026-0179)</w:t>
      </w:r>
    </w:p>
    <w:p/>
    <w:p>
      <w:r>
        <w:t>Document ID: RCA_INC_2026_0179</w:t>
      </w:r>
    </w:p>
    <w:p>
      <w:r>
        <w:t>Category: C25 — Broadband &amp; FTTH Services</w:t>
      </w:r>
    </w:p>
    <w:p>
      <w:r>
        <w:t>Department: Network</w:t>
      </w:r>
    </w:p>
    <w:p>
      <w:r>
        <w:t>Customer Scope: all</w:t>
      </w:r>
    </w:p>
    <w:p>
      <w:r>
        <w:t>Version: 1.0    Last Updated: 2026-08-08    Source Authority: Internal Knowledge Base</w:t>
      </w:r>
    </w:p>
    <w:p/>
    <w:p>
      <w:pPr>
        <w:pStyle w:val="Heading1"/>
      </w:pPr>
      <w:r>
        <w:t>Incident Summary</w:t>
      </w:r>
    </w:p>
    <w:p>
      <w:r>
        <w:t>A construction excavation severed a primary fibre trunk, affecting ~2,800 broadband customers for approximately 5.7 hours.</w:t>
      </w:r>
    </w:p>
    <w:p>
      <w:r>
        <w:t>Incident Reference: INC-2026-0179</w:t>
      </w:r>
    </w:p>
    <w:p>
      <w:pPr>
        <w:pStyle w:val="Heading1"/>
      </w:pPr>
      <w:r>
        <w:t>Business Impact</w:t>
      </w:r>
    </w:p>
    <w:p>
      <w:r>
        <w:t>Customer-facing impact and any associated complaint/refund volume are tracked in the linked incident record and customer-care systems.</w:t>
      </w:r>
    </w:p>
    <w:p>
      <w:pPr>
        <w:pStyle w:val="Heading1"/>
      </w:pPr>
      <w:r>
        <w:t>Technical Impact</w:t>
      </w:r>
    </w:p>
    <w:p>
      <w:r>
        <w:t>Affected systems/sites and the duration of degraded or unavailable service are as recorded in the linked incident report.</w:t>
      </w:r>
    </w:p>
    <w:p>
      <w:pPr>
        <w:pStyle w:val="Heading1"/>
      </w:pPr>
      <w:r>
        <w:t>Detection</w:t>
      </w:r>
    </w:p>
    <w:p>
      <w:r>
        <w:t>Detected via monitoring/alarms or customer reports as documented in the linked incident report.</w:t>
      </w:r>
    </w:p>
    <w:p>
      <w:pPr>
        <w:pStyle w:val="Heading1"/>
      </w:pPr>
      <w:r>
        <w:t>Timeline</w:t>
      </w:r>
    </w:p>
    <w:tbl>
      <w:tblPr>
        <w:tblStyle w:val="LightGrid-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Event</w:t>
            </w:r>
          </w:p>
        </w:tc>
      </w:tr>
      <w:tr>
        <w:tc>
          <w:tcPr>
            <w:tcW w:type="dxa" w:w="4320"/>
          </w:tcPr>
          <w:p>
            <w:r>
              <w:t>T+0</w:t>
            </w:r>
          </w:p>
        </w:tc>
        <w:tc>
          <w:tcPr>
            <w:tcW w:type="dxa" w:w="4320"/>
          </w:tcPr>
          <w:p>
            <w:r>
              <w:t>Fault detected</w:t>
            </w:r>
          </w:p>
        </w:tc>
      </w:tr>
      <w:tr>
        <w:tc>
          <w:tcPr>
            <w:tcW w:type="dxa" w:w="4320"/>
          </w:tcPr>
          <w:p>
            <w:r>
              <w:t>T+X</w:t>
            </w:r>
          </w:p>
        </w:tc>
        <w:tc>
          <w:tcPr>
            <w:tcW w:type="dxa" w:w="4320"/>
          </w:tcPr>
          <w:p>
            <w:r>
              <w:t>Root cause identified</w:t>
            </w:r>
          </w:p>
        </w:tc>
      </w:tr>
      <w:tr>
        <w:tc>
          <w:tcPr>
            <w:tcW w:type="dxa" w:w="4320"/>
          </w:tcPr>
          <w:p>
            <w:r>
              <w:t>T+Y</w:t>
            </w:r>
          </w:p>
        </w:tc>
        <w:tc>
          <w:tcPr>
            <w:tcW w:type="dxa" w:w="4320"/>
          </w:tcPr>
          <w:p>
            <w:r>
              <w:t>Service restored</w:t>
            </w:r>
          </w:p>
        </w:tc>
      </w:tr>
    </w:tbl>
    <w:p>
      <w:pPr>
        <w:pStyle w:val="Heading1"/>
      </w:pPr>
      <w:r>
        <w:t>Root Cause</w:t>
      </w:r>
    </w:p>
    <w:p>
      <w:r>
        <w:t>The affected trunk route lacked route diversity, meaning a single cut caused a full regional outage with no automatic failover path.</w:t>
      </w:r>
    </w:p>
    <w:p>
      <w:pPr>
        <w:pStyle w:val="Heading1"/>
      </w:pPr>
      <w:r>
        <w:t>Contributing Factors</w:t>
      </w:r>
    </w:p>
    <w:p>
      <w:pPr>
        <w:pStyle w:val="ListParagraph"/>
      </w:pPr>
      <w:r>
        <w:t>Splicing team dispatch relied on a single on-call technician for the region.</w:t>
      </w:r>
    </w:p>
    <w:p>
      <w:pPr>
        <w:pStyle w:val="ListParagraph"/>
      </w:pPr>
      <w:r>
        <w:t>Route-diversity investment for this corridor was previously deprioritised due to lower customer density at the time of original build.</w:t>
      </w:r>
    </w:p>
    <w:p>
      <w:pPr>
        <w:pStyle w:val="Heading1"/>
      </w:pPr>
      <w:r>
        <w:t>Five Whys</w:t>
      </w:r>
    </w:p>
    <w:p>
      <w:r>
        <w:t>Why did the fault occur? Root cause as above. Why wasn't it prevented? Existing safeguards did not cover this failure mode. Why not? The scenario had not previously been observed at this scale, prompting the corrective actions below.</w:t>
      </w:r>
    </w:p>
    <w:p>
      <w:pPr>
        <w:pStyle w:val="Heading1"/>
      </w:pPr>
      <w:r>
        <w:t>Resolution</w:t>
      </w:r>
    </w:p>
    <w:p>
      <w:r>
        <w:t>Service was restored per the incident timeline; see linked incident report for full detail.</w:t>
      </w:r>
    </w:p>
    <w:p>
      <w:pPr>
        <w:pStyle w:val="Heading1"/>
      </w:pPr>
      <w:r>
        <w:t>Corrective 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Owner</w:t>
            </w:r>
          </w:p>
        </w:tc>
        <w:tc>
          <w:tcPr>
            <w:tcW w:type="dxa" w:w="2880"/>
          </w:tcPr>
          <w:p>
            <w:r>
              <w:t>Target</w:t>
            </w:r>
          </w:p>
        </w:tc>
      </w:tr>
      <w:tr>
        <w:tc>
          <w:tcPr>
            <w:tcW w:type="dxa" w:w="2880"/>
          </w:tcPr>
          <w:p>
            <w:r>
              <w:t>Prioritise route-diversity build-out for the Pune regional t</w:t>
            </w:r>
          </w:p>
        </w:tc>
        <w:tc>
          <w:tcPr>
            <w:tcW w:type="dxa" w:w="2880"/>
          </w:tcPr>
          <w:p>
            <w:r>
              <w:t>Network</w:t>
            </w:r>
          </w:p>
        </w:tc>
        <w:tc>
          <w:tcPr>
            <w:tcW w:type="dxa" w:w="2880"/>
          </w:tcPr>
          <w:p>
            <w:r>
              <w:t>See status</w:t>
            </w:r>
          </w:p>
        </w:tc>
      </w:tr>
      <w:tr>
        <w:tc>
          <w:tcPr>
            <w:tcW w:type="dxa" w:w="2880"/>
          </w:tcPr>
          <w:p>
            <w:r>
              <w:t>Increase on-call splicing technician coverage for the region</w:t>
            </w:r>
          </w:p>
        </w:tc>
        <w:tc>
          <w:tcPr>
            <w:tcW w:type="dxa" w:w="2880"/>
          </w:tcPr>
          <w:p>
            <w:r>
              <w:t>Network</w:t>
            </w:r>
          </w:p>
        </w:tc>
        <w:tc>
          <w:tcPr>
            <w:tcW w:type="dxa" w:w="2880"/>
          </w:tcPr>
          <w:p>
            <w:r>
              <w:t>See status</w:t>
            </w:r>
          </w:p>
        </w:tc>
      </w:tr>
    </w:tbl>
    <w:p>
      <w:pPr>
        <w:pStyle w:val="ListParagraph"/>
      </w:pPr>
      <w:r>
        <w:t>Prioritise route-diversity build-out for the Pune regional trunk given increased customer density (target: 6 months, capital planning required).</w:t>
      </w:r>
    </w:p>
    <w:p>
      <w:pPr>
        <w:pStyle w:val="ListParagraph"/>
      </w:pPr>
      <w:r>
        <w:t>Increase on-call splicing technician coverage for the region to at least two available resources (target: 30 days).</w:t>
      </w:r>
    </w:p>
    <w:p>
      <w:pPr>
        <w:pStyle w:val="Heading1"/>
      </w:pPr>
      <w:r>
        <w:t>Preventive Actions</w:t>
      </w:r>
    </w:p>
    <w:p>
      <w:r>
        <w:t>Longer-term preventive measures are tracked alongside the corrective actions above and reviewed at the next governance cycle.</w:t>
      </w:r>
    </w:p>
    <w:p>
      <w:pPr>
        <w:pStyle w:val="Heading1"/>
      </w:pPr>
      <w:r>
        <w:t>Monitoring Changes</w:t>
      </w:r>
    </w:p>
    <w:p>
      <w:r>
        <w:t>Monitoring thresholds/alerts relevant to this failure mode are reviewed and updated where the investigation identified a detection gap.</w:t>
      </w:r>
    </w:p>
    <w:p>
      <w:pPr>
        <w:pStyle w:val="Heading1"/>
      </w:pPr>
      <w:r>
        <w:t>Ownership</w:t>
      </w:r>
    </w:p>
    <w:p>
      <w:r>
        <w:t>Action 2 completed; Action 1 submitted for capital budget approval; owner: Network Infrastructure team.</w:t>
      </w:r>
    </w:p>
    <w:p>
      <w:pPr>
        <w:pStyle w:val="Heading1"/>
      </w:pPr>
      <w:r>
        <w:t>Status</w:t>
      </w:r>
    </w:p>
    <w:p>
      <w:r>
        <w:t>Action 2 completed; Action 1 submitted for capital budget approval; owner: Network Infrastructure team.</w:t>
      </w:r>
    </w:p>
    <w:p>
      <w:pPr>
        <w:pStyle w:val="Heading1"/>
      </w:pPr>
      <w:r>
        <w:t>Related Documents</w:t>
      </w:r>
    </w:p>
    <w:p>
      <w:r>
        <w:t>Related documents: INC_INC_2026_0179.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