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RCA: My NovaTel App Login Outage (INC-2026-0184)</w:t>
      </w:r>
    </w:p>
    <w:p/>
    <w:p>
      <w:r>
        <w:t>Document ID: RCA_INC_2026_0184</w:t>
      </w:r>
    </w:p>
    <w:p>
      <w:r>
        <w:t>Category: C13 — App &amp; Self-Care Portal</w:t>
      </w:r>
    </w:p>
    <w:p>
      <w:r>
        <w:t>Department: Digital Channels</w:t>
      </w:r>
    </w:p>
    <w:p>
      <w:r>
        <w:t>Customer Scope: all</w:t>
      </w:r>
    </w:p>
    <w:p>
      <w:r>
        <w:t>Version: 1.0    Last Updated: 2026-08-08    Source Authority: Internal Knowledge Base</w:t>
      </w:r>
    </w:p>
    <w:p/>
    <w:p>
      <w:pPr>
        <w:pStyle w:val="Heading1"/>
      </w:pPr>
      <w:r>
        <w:t>Incident Summary</w:t>
      </w:r>
    </w:p>
    <w:p>
      <w:r>
        <w:t>All app logins failed for 55 minutes following an authentication service deployment.</w:t>
      </w:r>
    </w:p>
    <w:p>
      <w:r>
        <w:t>Incident Reference: INC-2026-0184</w:t>
      </w:r>
    </w:p>
    <w:p>
      <w:pPr>
        <w:pStyle w:val="Heading1"/>
      </w:pPr>
      <w:r>
        <w:t>Business Impact</w:t>
      </w:r>
    </w:p>
    <w:p>
      <w:r>
        <w:t>Customer-facing impact and any associated complaint/refund volume are tracked in the linked incident record and customer-care systems.</w:t>
      </w:r>
    </w:p>
    <w:p>
      <w:pPr>
        <w:pStyle w:val="Heading1"/>
      </w:pPr>
      <w:r>
        <w:t>Technical Impact</w:t>
      </w:r>
    </w:p>
    <w:p>
      <w:r>
        <w:t>Affected systems/sites and the duration of degraded or unavailable service are as recorded in the linked incident report.</w:t>
      </w:r>
    </w:p>
    <w:p>
      <w:pPr>
        <w:pStyle w:val="Heading1"/>
      </w:pPr>
      <w:r>
        <w:t>Detection</w:t>
      </w:r>
    </w:p>
    <w:p>
      <w:r>
        <w:t>Detected via monitoring/alarms or customer reports as documented in the linked incident report.</w:t>
      </w:r>
    </w:p>
    <w:p>
      <w:pPr>
        <w:pStyle w:val="Heading1"/>
      </w:pPr>
      <w:r>
        <w:t>Timeline</w:t>
      </w:r>
    </w:p>
    <w:tbl>
      <w:tblPr>
        <w:tblStyle w:val="LightGrid-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Event</w:t>
            </w:r>
          </w:p>
        </w:tc>
      </w:tr>
      <w:tr>
        <w:tc>
          <w:tcPr>
            <w:tcW w:type="dxa" w:w="4320"/>
          </w:tcPr>
          <w:p>
            <w:r>
              <w:t>T+0</w:t>
            </w:r>
          </w:p>
        </w:tc>
        <w:tc>
          <w:tcPr>
            <w:tcW w:type="dxa" w:w="4320"/>
          </w:tcPr>
          <w:p>
            <w:r>
              <w:t>Fault detected</w:t>
            </w:r>
          </w:p>
        </w:tc>
      </w:tr>
      <w:tr>
        <w:tc>
          <w:tcPr>
            <w:tcW w:type="dxa" w:w="4320"/>
          </w:tcPr>
          <w:p>
            <w:r>
              <w:t>T+X</w:t>
            </w:r>
          </w:p>
        </w:tc>
        <w:tc>
          <w:tcPr>
            <w:tcW w:type="dxa" w:w="4320"/>
          </w:tcPr>
          <w:p>
            <w:r>
              <w:t>Root cause identified</w:t>
            </w:r>
          </w:p>
        </w:tc>
      </w:tr>
      <w:tr>
        <w:tc>
          <w:tcPr>
            <w:tcW w:type="dxa" w:w="4320"/>
          </w:tcPr>
          <w:p>
            <w:r>
              <w:t>T+Y</w:t>
            </w:r>
          </w:p>
        </w:tc>
        <w:tc>
          <w:tcPr>
            <w:tcW w:type="dxa" w:w="4320"/>
          </w:tcPr>
          <w:p>
            <w:r>
              <w:t>Service restored</w:t>
            </w:r>
          </w:p>
        </w:tc>
      </w:tr>
    </w:tbl>
    <w:p>
      <w:pPr>
        <w:pStyle w:val="Heading1"/>
      </w:pPr>
      <w:r>
        <w:t>Root Cause</w:t>
      </w:r>
    </w:p>
    <w:p>
      <w:r>
        <w:t>A TLS certificate reference in the new deployment pointed to a staging certificate rather than production, which was not caught by the deployment's automated smoke tests.</w:t>
      </w:r>
    </w:p>
    <w:p>
      <w:pPr>
        <w:pStyle w:val="Heading1"/>
      </w:pPr>
      <w:r>
        <w:t>Contributing Factors</w:t>
      </w:r>
    </w:p>
    <w:p>
      <w:pPr>
        <w:pStyle w:val="ListParagraph"/>
      </w:pPr>
      <w:r>
        <w:t>Smoke tests did not include a certificate-validity/environment check.</w:t>
      </w:r>
    </w:p>
    <w:p>
      <w:pPr>
        <w:pStyle w:val="ListParagraph"/>
      </w:pPr>
      <w:r>
        <w:t>Rollback procedure required manual trigger rather than automatic health-check-based rollback.</w:t>
      </w:r>
    </w:p>
    <w:p>
      <w:pPr>
        <w:pStyle w:val="Heading1"/>
      </w:pPr>
      <w:r>
        <w:t>Five Whys</w:t>
      </w:r>
    </w:p>
    <w:p>
      <w:r>
        <w:t>Why did the fault occur? Root cause as above. Why wasn't it prevented? Existing safeguards did not cover this failure mode. Why not? The scenario had not previously been observed at this scale, prompting the corrective actions below.</w:t>
      </w:r>
    </w:p>
    <w:p>
      <w:pPr>
        <w:pStyle w:val="Heading1"/>
      </w:pPr>
      <w:r>
        <w:t>Resolution</w:t>
      </w:r>
    </w:p>
    <w:p>
      <w:r>
        <w:t>Service was restored per the incident timeline; see linked incident report for full detail.</w:t>
      </w:r>
    </w:p>
    <w:p>
      <w:pPr>
        <w:pStyle w:val="Heading1"/>
      </w:pPr>
      <w:r>
        <w:t>Corrective Actions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Action</w:t>
            </w:r>
          </w:p>
        </w:tc>
        <w:tc>
          <w:tcPr>
            <w:tcW w:type="dxa" w:w="2880"/>
          </w:tcPr>
          <w:p>
            <w:r>
              <w:t>Owner</w:t>
            </w:r>
          </w:p>
        </w:tc>
        <w:tc>
          <w:tcPr>
            <w:tcW w:type="dxa" w:w="2880"/>
          </w:tcPr>
          <w:p>
            <w:r>
              <w:t>Target</w:t>
            </w:r>
          </w:p>
        </w:tc>
      </w:tr>
      <w:tr>
        <w:tc>
          <w:tcPr>
            <w:tcW w:type="dxa" w:w="2880"/>
          </w:tcPr>
          <w:p>
            <w:r>
              <w:t>Add certificate-environment validation to the deployment smo</w:t>
            </w:r>
          </w:p>
        </w:tc>
        <w:tc>
          <w:tcPr>
            <w:tcW w:type="dxa" w:w="2880"/>
          </w:tcPr>
          <w:p>
            <w:r>
              <w:t>Digital Channels</w:t>
            </w:r>
          </w:p>
        </w:tc>
        <w:tc>
          <w:tcPr>
            <w:tcW w:type="dxa" w:w="2880"/>
          </w:tcPr>
          <w:p>
            <w:r>
              <w:t>See status</w:t>
            </w:r>
          </w:p>
        </w:tc>
      </w:tr>
      <w:tr>
        <w:tc>
          <w:tcPr>
            <w:tcW w:type="dxa" w:w="2880"/>
          </w:tcPr>
          <w:p>
            <w:r>
              <w:t>Implement automatic rollback on authentication-service healt</w:t>
            </w:r>
          </w:p>
        </w:tc>
        <w:tc>
          <w:tcPr>
            <w:tcW w:type="dxa" w:w="2880"/>
          </w:tcPr>
          <w:p>
            <w:r>
              <w:t>Digital Channels</w:t>
            </w:r>
          </w:p>
        </w:tc>
        <w:tc>
          <w:tcPr>
            <w:tcW w:type="dxa" w:w="2880"/>
          </w:tcPr>
          <w:p>
            <w:r>
              <w:t>See status</w:t>
            </w:r>
          </w:p>
        </w:tc>
      </w:tr>
    </w:tbl>
    <w:p>
      <w:pPr>
        <w:pStyle w:val="ListParagraph"/>
      </w:pPr>
      <w:r>
        <w:t>Add certificate-environment validation to the deployment smoke-test suite (target: 14 days).</w:t>
      </w:r>
    </w:p>
    <w:p>
      <w:pPr>
        <w:pStyle w:val="ListParagraph"/>
      </w:pPr>
      <w:r>
        <w:t>Implement automatic rollback on authentication-service health-check failure (target: 45 days).</w:t>
      </w:r>
    </w:p>
    <w:p>
      <w:pPr>
        <w:pStyle w:val="Heading1"/>
      </w:pPr>
      <w:r>
        <w:t>Preventive Actions</w:t>
      </w:r>
    </w:p>
    <w:p>
      <w:r>
        <w:t>Longer-term preventive measures are tracked alongside the corrective actions above and reviewed at the next governance cycle.</w:t>
      </w:r>
    </w:p>
    <w:p>
      <w:pPr>
        <w:pStyle w:val="Heading1"/>
      </w:pPr>
      <w:r>
        <w:t>Monitoring Changes</w:t>
      </w:r>
    </w:p>
    <w:p>
      <w:r>
        <w:t>Monitoring thresholds/alerts relevant to this failure mode are reviewed and updated where the investigation identified a detection gap.</w:t>
      </w:r>
    </w:p>
    <w:p>
      <w:pPr>
        <w:pStyle w:val="Heading1"/>
      </w:pPr>
      <w:r>
        <w:t>Ownership</w:t>
      </w:r>
    </w:p>
    <w:p>
      <w:r>
        <w:t>Both actions in progress; owner: Digital Channels Engineering team.</w:t>
      </w:r>
    </w:p>
    <w:p>
      <w:pPr>
        <w:pStyle w:val="Heading1"/>
      </w:pPr>
      <w:r>
        <w:t>Status</w:t>
      </w:r>
    </w:p>
    <w:p>
      <w:r>
        <w:t>Both actions in progress; owner: Digital Channels Engineering team.</w:t>
      </w:r>
    </w:p>
    <w:p>
      <w:pPr>
        <w:pStyle w:val="Heading1"/>
      </w:pPr>
      <w:r>
        <w:t>Related Documents</w:t>
      </w:r>
    </w:p>
    <w:p>
      <w:r>
        <w:t>Related documents: INC_INC_2026_0184.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