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RCA: Phishing SMS Campaign Impersonating NovaTel (INC-2026-0197)</w:t>
      </w:r>
    </w:p>
    <w:p/>
    <w:p>
      <w:r>
        <w:t>Document ID: RCA_INC_2026_0197</w:t>
      </w:r>
    </w:p>
    <w:p>
      <w:r>
        <w:t>Category: C18 — Security &amp; Fraud</w:t>
      </w:r>
    </w:p>
    <w:p>
      <w:r>
        <w:t>Department: Security</w:t>
      </w:r>
    </w:p>
    <w:p>
      <w:r>
        <w:t>Customer Scope: all</w:t>
      </w:r>
    </w:p>
    <w:p>
      <w:r>
        <w:t>Version: 1.0    Last Updated: 2026-08-08    Source Authority: Internal Knowledge Base</w:t>
      </w:r>
    </w:p>
    <w:p/>
    <w:p>
      <w:pPr>
        <w:pStyle w:val="Heading1"/>
      </w:pPr>
      <w:r>
        <w:t>Incident Summary</w:t>
      </w:r>
    </w:p>
    <w:p>
      <w:r>
        <w:t>A third-party phishing campaign impersonated NovaTel billing alerts via SMS, directing customers to a malicious link.</w:t>
      </w:r>
    </w:p>
    <w:p>
      <w:r>
        <w:t>Incident Reference: INC-2026-0197</w:t>
      </w:r>
    </w:p>
    <w:p>
      <w:pPr>
        <w:pStyle w:val="Heading1"/>
      </w:pPr>
      <w:r>
        <w:t>Business Impact</w:t>
      </w:r>
    </w:p>
    <w:p>
      <w:r>
        <w:t>Customer-facing impact and any associated complaint/refund volume are tracked in the linked incident record and customer-care systems.</w:t>
      </w:r>
    </w:p>
    <w:p>
      <w:pPr>
        <w:pStyle w:val="Heading1"/>
      </w:pPr>
      <w:r>
        <w:t>Technical Impact</w:t>
      </w:r>
    </w:p>
    <w:p>
      <w:r>
        <w:t>Affected systems/sites and the duration of degraded or unavailable service are as recorded in the linked incident report.</w:t>
      </w:r>
    </w:p>
    <w:p>
      <w:pPr>
        <w:pStyle w:val="Heading1"/>
      </w:pPr>
      <w:r>
        <w:t>Detection</w:t>
      </w:r>
    </w:p>
    <w:p>
      <w:r>
        <w:t>Detected via monitoring/alarms or customer reports as documented in the linked incident report.</w:t>
      </w:r>
    </w:p>
    <w:p>
      <w:pPr>
        <w:pStyle w:val="Heading1"/>
      </w:pPr>
      <w:r>
        <w:t>Timeline</w:t>
      </w:r>
    </w:p>
    <w:tbl>
      <w:tblPr>
        <w:tblStyle w:val="LightGrid-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Event</w:t>
            </w:r>
          </w:p>
        </w:tc>
      </w:tr>
      <w:tr>
        <w:tc>
          <w:tcPr>
            <w:tcW w:type="dxa" w:w="4320"/>
          </w:tcPr>
          <w:p>
            <w:r>
              <w:t>T+0</w:t>
            </w:r>
          </w:p>
        </w:tc>
        <w:tc>
          <w:tcPr>
            <w:tcW w:type="dxa" w:w="4320"/>
          </w:tcPr>
          <w:p>
            <w:r>
              <w:t>Fault detected</w:t>
            </w:r>
          </w:p>
        </w:tc>
      </w:tr>
      <w:tr>
        <w:tc>
          <w:tcPr>
            <w:tcW w:type="dxa" w:w="4320"/>
          </w:tcPr>
          <w:p>
            <w:r>
              <w:t>T+X</w:t>
            </w:r>
          </w:p>
        </w:tc>
        <w:tc>
          <w:tcPr>
            <w:tcW w:type="dxa" w:w="4320"/>
          </w:tcPr>
          <w:p>
            <w:r>
              <w:t>Root cause identified</w:t>
            </w:r>
          </w:p>
        </w:tc>
      </w:tr>
      <w:tr>
        <w:tc>
          <w:tcPr>
            <w:tcW w:type="dxa" w:w="4320"/>
          </w:tcPr>
          <w:p>
            <w:r>
              <w:t>T+Y</w:t>
            </w:r>
          </w:p>
        </w:tc>
        <w:tc>
          <w:tcPr>
            <w:tcW w:type="dxa" w:w="4320"/>
          </w:tcPr>
          <w:p>
            <w:r>
              <w:t>Service restored</w:t>
            </w:r>
          </w:p>
        </w:tc>
      </w:tr>
    </w:tbl>
    <w:p>
      <w:pPr>
        <w:pStyle w:val="Heading1"/>
      </w:pPr>
      <w:r>
        <w:t>Root Cause</w:t>
      </w:r>
    </w:p>
    <w:p>
      <w:r>
        <w:t>External bad actors spoofed NovaTel's SMS sender ID format; this is an external attack rather than an internal system failure, but response coordination had gaps.</w:t>
      </w:r>
    </w:p>
    <w:p>
      <w:pPr>
        <w:pStyle w:val="Heading1"/>
      </w:pPr>
      <w:r>
        <w:t>Contributing Factors</w:t>
      </w:r>
    </w:p>
    <w:p>
      <w:pPr>
        <w:pStyle w:val="ListParagraph"/>
      </w:pPr>
      <w:r>
        <w:t>Delay of several hours between first customer reports and the broadcast anti-fraud alert.</w:t>
      </w:r>
    </w:p>
    <w:p>
      <w:pPr>
        <w:pStyle w:val="ListParagraph"/>
      </w:pPr>
      <w:r>
        <w:t>No pre-existing rapid-takedown relationship with the specific hosting provider used for the phishing domain.</w:t>
      </w:r>
    </w:p>
    <w:p>
      <w:pPr>
        <w:pStyle w:val="Heading1"/>
      </w:pPr>
      <w:r>
        <w:t>Five Whys</w:t>
      </w:r>
    </w:p>
    <w:p>
      <w:r>
        <w:t>Why did the fault occur? Root cause as above. Why wasn't it prevented? Existing safeguards did not cover this failure mode. Why not? The scenario had not previously been observed at this scale, prompting the corrective actions below.</w:t>
      </w:r>
    </w:p>
    <w:p>
      <w:pPr>
        <w:pStyle w:val="Heading1"/>
      </w:pPr>
      <w:r>
        <w:t>Resolution</w:t>
      </w:r>
    </w:p>
    <w:p>
      <w:r>
        <w:t>Service was restored per the incident timeline; see linked incident report for full detail.</w:t>
      </w:r>
    </w:p>
    <w:p>
      <w:pPr>
        <w:pStyle w:val="Heading1"/>
      </w:pPr>
      <w:r>
        <w:t>Corrective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Target</w:t>
            </w:r>
          </w:p>
        </w:tc>
      </w:tr>
      <w:tr>
        <w:tc>
          <w:tcPr>
            <w:tcW w:type="dxa" w:w="2880"/>
          </w:tcPr>
          <w:p>
            <w:r>
              <w:t xml:space="preserve">Reduce the customer-report-to-broadcast-alert threshold via </w:t>
            </w:r>
          </w:p>
        </w:tc>
        <w:tc>
          <w:tcPr>
            <w:tcW w:type="dxa" w:w="2880"/>
          </w:tcPr>
          <w:p>
            <w:r>
              <w:t>Security</w:t>
            </w:r>
          </w:p>
        </w:tc>
        <w:tc>
          <w:tcPr>
            <w:tcW w:type="dxa" w:w="2880"/>
          </w:tcPr>
          <w:p>
            <w:r>
              <w:t>See status</w:t>
            </w:r>
          </w:p>
        </w:tc>
      </w:tr>
      <w:tr>
        <w:tc>
          <w:tcPr>
            <w:tcW w:type="dxa" w:w="2880"/>
          </w:tcPr>
          <w:p>
            <w:r>
              <w:t>Establish standing takedown-request relationships with major</w:t>
            </w:r>
          </w:p>
        </w:tc>
        <w:tc>
          <w:tcPr>
            <w:tcW w:type="dxa" w:w="2880"/>
          </w:tcPr>
          <w:p>
            <w:r>
              <w:t>Security</w:t>
            </w:r>
          </w:p>
        </w:tc>
        <w:tc>
          <w:tcPr>
            <w:tcW w:type="dxa" w:w="2880"/>
          </w:tcPr>
          <w:p>
            <w:r>
              <w:t>See status</w:t>
            </w:r>
          </w:p>
        </w:tc>
      </w:tr>
    </w:tbl>
    <w:p>
      <w:pPr>
        <w:pStyle w:val="ListParagraph"/>
      </w:pPr>
      <w:r>
        <w:t>Reduce the customer-report-to-broadcast-alert threshold via an automated spike-detection rule on fraud-report volume (target: 30 days).</w:t>
      </w:r>
    </w:p>
    <w:p>
      <w:pPr>
        <w:pStyle w:val="ListParagraph"/>
      </w:pPr>
      <w:r>
        <w:t>Establish standing takedown-request relationships with major hosting providers via the industry CERT-In liaison channel.</w:t>
      </w:r>
    </w:p>
    <w:p>
      <w:pPr>
        <w:pStyle w:val="Heading1"/>
      </w:pPr>
      <w:r>
        <w:t>Preventive Actions</w:t>
      </w:r>
    </w:p>
    <w:p>
      <w:r>
        <w:t>Longer-term preventive measures are tracked alongside the corrective actions above and reviewed at the next governance cycle.</w:t>
      </w:r>
    </w:p>
    <w:p>
      <w:pPr>
        <w:pStyle w:val="Heading1"/>
      </w:pPr>
      <w:r>
        <w:t>Monitoring Changes</w:t>
      </w:r>
    </w:p>
    <w:p>
      <w:r>
        <w:t>Monitoring thresholds/alerts relevant to this failure mode are reviewed and updated where the investigation identified a detection gap.</w:t>
      </w:r>
    </w:p>
    <w:p>
      <w:pPr>
        <w:pStyle w:val="Heading1"/>
      </w:pPr>
      <w:r>
        <w:t>Ownership</w:t>
      </w:r>
    </w:p>
    <w:p>
      <w:r>
        <w:t>Action 1 completed; Action 2 in progress; owner: Security team.</w:t>
      </w:r>
    </w:p>
    <w:p>
      <w:pPr>
        <w:pStyle w:val="Heading1"/>
      </w:pPr>
      <w:r>
        <w:t>Status</w:t>
      </w:r>
    </w:p>
    <w:p>
      <w:r>
        <w:t>Action 1 completed; Action 2 in progress; owner: Security team.</w:t>
      </w:r>
    </w:p>
    <w:p>
      <w:pPr>
        <w:pStyle w:val="Heading1"/>
      </w:pPr>
      <w:r>
        <w:t>Related Documents</w:t>
      </w:r>
    </w:p>
    <w:p>
      <w:r>
        <w:t>Related documents: INC_INC_2026_0197.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