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Issuing a Duplicate/Replacement SIM</w:t>
      </w:r>
    </w:p>
    <w:p/>
    <w:p>
      <w:r>
        <w:t>Document ID: SOP_C05_SIM_REPLACEMENT</w:t>
      </w:r>
    </w:p>
    <w:p>
      <w:r>
        <w:t>Category: C05 — SIM Card Services</w:t>
      </w:r>
    </w:p>
    <w:p>
      <w:r>
        <w:t>Department: Customer Care</w:t>
      </w:r>
    </w:p>
    <w:p>
      <w:r>
        <w:t>Customer Scope: all</w:t>
      </w:r>
    </w:p>
    <w:p>
      <w:r>
        <w:t>Version: 1.0    Last Updated: 2026-08-08    Source Authority: Internal Knowledge Base</w:t>
      </w:r>
    </w:p>
    <w:p/>
    <w:p>
      <w:pPr>
        <w:pStyle w:val="Heading1"/>
      </w:pPr>
      <w:r>
        <w:t>Purpose</w:t>
      </w:r>
    </w:p>
    <w:p>
      <w:r>
        <w:t>To standardise the process for issuing a replacement SIM for lost, damaged, or swapped SIM cards while preventing fraudulent reissue.</w:t>
      </w:r>
    </w:p>
    <w:p>
      <w:pPr>
        <w:pStyle w:val="Heading1"/>
      </w:pPr>
      <w:r>
        <w:t>Scope</w:t>
      </w:r>
    </w:p>
    <w:p>
      <w:r>
        <w:t>Applies to all in-store and video-KYC based SIM replacement requests.</w:t>
      </w:r>
    </w:p>
    <w:p>
      <w:pPr>
        <w:pStyle w:val="Heading1"/>
      </w:pPr>
      <w:r>
        <w:t>Preconditions</w:t>
      </w:r>
    </w:p>
    <w:p>
      <w:pPr>
        <w:pStyle w:val="ListParagraph"/>
      </w:pPr>
      <w:r>
        <w:t>Customer identity verified (registered number and OTP where applicable).</w:t>
      </w:r>
    </w:p>
    <w:p>
      <w:pPr>
        <w:pStyle w:val="ListParagraph"/>
      </w:pPr>
      <w:r>
        <w:t>Account is active and not under a fraud, legal, or compliance hold.</w:t>
      </w:r>
    </w:p>
    <w:p>
      <w:pPr>
        <w:pStyle w:val="Heading1"/>
      </w:pPr>
      <w:r>
        <w:t>Roles &amp; Responsibilities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First-line Agent</w:t>
            </w:r>
          </w:p>
        </w:tc>
        <w:tc>
          <w:tcPr>
            <w:tcW w:type="dxa" w:w="4320"/>
          </w:tcPr>
          <w:p>
            <w:r>
              <w:t>Verify identity, apply standard steps, escalate if unresolved</w:t>
            </w:r>
          </w:p>
        </w:tc>
      </w:tr>
      <w:tr>
        <w:tc>
          <w:tcPr>
            <w:tcW w:type="dxa" w:w="4320"/>
          </w:tcPr>
          <w:p>
            <w:r>
              <w:t>Customer Care Team</w:t>
            </w:r>
          </w:p>
        </w:tc>
        <w:tc>
          <w:tcPr>
            <w:tcW w:type="dxa" w:w="4320"/>
          </w:tcPr>
          <w:p>
            <w:r>
              <w:t>Handle escalations and cases requiring backend access</w:t>
            </w:r>
          </w:p>
        </w:tc>
      </w:tr>
      <w:tr>
        <w:tc>
          <w:tcPr>
            <w:tcW w:type="dxa" w:w="4320"/>
          </w:tcPr>
          <w:p>
            <w:r>
              <w:t>Supervisor</w:t>
            </w:r>
          </w:p>
        </w:tc>
        <w:tc>
          <w:tcPr>
            <w:tcW w:type="dxa" w:w="4320"/>
          </w:tcPr>
          <w:p>
            <w:r>
              <w:t>Review cases breaching SLA and approve exceptions</w:t>
            </w:r>
          </w:p>
        </w:tc>
      </w:tr>
    </w:tbl>
    <w:p>
      <w:pPr>
        <w:pStyle w:val="Heading1"/>
      </w:pPr>
      <w:r>
        <w:t>Required Information</w:t>
      </w:r>
    </w:p>
    <w:p>
      <w:pPr>
        <w:pStyle w:val="ListParagraph"/>
      </w:pPr>
      <w:r>
        <w:t>Registered mobile number / account ID.</w:t>
      </w:r>
    </w:p>
    <w:p>
      <w:pPr>
        <w:pStyle w:val="ListParagraph"/>
      </w:pPr>
      <w:r>
        <w:t>Nature of the request and any reference numbers already issued.</w:t>
      </w:r>
    </w:p>
    <w:p>
      <w:pPr>
        <w:pStyle w:val="ListParagraph"/>
      </w:pPr>
      <w:r>
        <w:t>Relevant transaction or ticket ID, where applicable.</w:t>
      </w:r>
    </w:p>
    <w:p>
      <w:pPr>
        <w:pStyle w:val="Heading1"/>
      </w:pPr>
      <w:r>
        <w:t>Procedure</w:t>
      </w:r>
    </w:p>
    <w:p>
      <w:pPr>
        <w:pStyle w:val="ListParagraph"/>
      </w:pPr>
      <w:r>
        <w:t>Verify customer identity against KYC records (photo ID match, or video-KYC liveness check).</w:t>
      </w:r>
    </w:p>
    <w:p>
      <w:pPr>
        <w:pStyle w:val="ListParagraph"/>
      </w:pPr>
      <w:r>
        <w:t>Confirm no active fraud flag exists on the account before proceeding.</w:t>
      </w:r>
    </w:p>
    <w:p>
      <w:pPr>
        <w:pStyle w:val="ListParagraph"/>
      </w:pPr>
      <w:r>
        <w:t>Issue new SIM with same number; deactivate old SIM as part of the same transaction.</w:t>
      </w:r>
    </w:p>
    <w:p>
      <w:pPr>
        <w:pStyle w:val="ListParagraph"/>
      </w:pPr>
      <w:r>
        <w:t>Instruct customer to restart device and confirm network registration before leaving the store / ending the session.</w:t>
      </w:r>
    </w:p>
    <w:p>
      <w:pPr>
        <w:pStyle w:val="ListParagraph"/>
      </w:pPr>
      <w:r>
        <w:t>Log the replacement reason code (lost/damaged/swap/device change) in the CRM.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If Failed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Verify customer identity against KYC records (photo ID match, or video</w:t>
            </w:r>
          </w:p>
        </w:tc>
        <w:tc>
          <w:tcPr>
            <w:tcW w:type="dxa" w:w="2160"/>
          </w:tcPr>
          <w:p>
            <w:r>
              <w:t>Request progressed / resolved</w:t>
            </w:r>
          </w:p>
        </w:tc>
        <w:tc>
          <w:tcPr>
            <w:tcW w:type="dxa" w:w="2160"/>
          </w:tcPr>
          <w:p>
            <w:r>
              <w:t>Escalate to next tier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Confirm no active fraud flag exists on the account before proceeding.</w:t>
            </w:r>
          </w:p>
        </w:tc>
        <w:tc>
          <w:tcPr>
            <w:tcW w:type="dxa" w:w="2160"/>
          </w:tcPr>
          <w:p>
            <w:r>
              <w:t>Request progressed / resolved</w:t>
            </w:r>
          </w:p>
        </w:tc>
        <w:tc>
          <w:tcPr>
            <w:tcW w:type="dxa" w:w="2160"/>
          </w:tcPr>
          <w:p>
            <w:r>
              <w:t>Escalate to next tier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Issue new SIM with same number; deactivate old SIM as part of the same</w:t>
            </w:r>
          </w:p>
        </w:tc>
        <w:tc>
          <w:tcPr>
            <w:tcW w:type="dxa" w:w="2160"/>
          </w:tcPr>
          <w:p>
            <w:r>
              <w:t>Request progressed / resolved</w:t>
            </w:r>
          </w:p>
        </w:tc>
        <w:tc>
          <w:tcPr>
            <w:tcW w:type="dxa" w:w="2160"/>
          </w:tcPr>
          <w:p>
            <w:r>
              <w:t>Escalate to next tier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Instruct customer to restart device and confirm network registration b</w:t>
            </w:r>
          </w:p>
        </w:tc>
        <w:tc>
          <w:tcPr>
            <w:tcW w:type="dxa" w:w="2160"/>
          </w:tcPr>
          <w:p>
            <w:r>
              <w:t>Request progressed / resolved</w:t>
            </w:r>
          </w:p>
        </w:tc>
        <w:tc>
          <w:tcPr>
            <w:tcW w:type="dxa" w:w="2160"/>
          </w:tcPr>
          <w:p>
            <w:r>
              <w:t>Escalate to next tier</w:t>
            </w:r>
          </w:p>
        </w:tc>
      </w:tr>
    </w:tbl>
    <w:p>
      <w:pPr>
        <w:pStyle w:val="Heading1"/>
      </w:pPr>
      <w:r>
        <w:t>Decision Points</w:t>
      </w:r>
    </w:p>
    <w:p>
      <w:pPr>
        <w:pStyle w:val="ListParagraph"/>
      </w:pPr>
      <w:r>
        <w:t>If the request qualifies under standard criteria, proceed with automatic processing.</w:t>
      </w:r>
    </w:p>
    <w:p>
      <w:pPr>
        <w:pStyle w:val="ListParagraph"/>
      </w:pPr>
      <w:r>
        <w:t>If suspected fraud indicators are present at any step, halt standard processing and route per the Fraud &amp; Security Response SOP.</w:t>
      </w:r>
    </w:p>
    <w:p>
      <w:pPr>
        <w:pStyle w:val="Heading1"/>
      </w:pPr>
      <w:r>
        <w:t>Exception Handling</w:t>
      </w:r>
    </w:p>
    <w:p>
      <w:pPr>
        <w:pStyle w:val="ListParagraph"/>
      </w:pPr>
      <w:r>
        <w:t>If fraud is suspected at any point, halt the process and route to SOP_C18_FRAUD_RESPONSE.</w:t>
      </w:r>
    </w:p>
    <w:p>
      <w:pPr>
        <w:pStyle w:val="Heading1"/>
      </w:pPr>
      <w:r>
        <w:t>Validation</w:t>
      </w:r>
    </w:p>
    <w:p>
      <w:r>
        <w:t>Confirm the account/system reflects the expected end state before the case is closed, and obtain customer confirmation where applicable.</w:t>
      </w:r>
    </w:p>
    <w:p>
      <w:pPr>
        <w:pStyle w:val="Heading1"/>
      </w:pPr>
      <w:r>
        <w:t>Escalation</w:t>
      </w:r>
    </w:p>
    <w:p>
      <w:pPr>
        <w:pStyle w:val="ListParagraph"/>
      </w:pPr>
      <w:r>
        <w:t>Unresolved cases are automatically flagged for supervisor review after the stated SLA window, ensuring no request is left without a defined next action.</w:t>
      </w:r>
    </w:p>
    <w:p>
      <w:pPr>
        <w:pStyle w:val="Heading1"/>
      </w:pPr>
      <w:r>
        <w:t>SLA / Timing</w:t>
      </w:r>
    </w:p>
    <w:p>
      <w:r>
        <w:t>First-line resolution target is same working day; escalations to specialist teams carry a 2-3 working day SLA.</w:t>
      </w:r>
    </w:p>
    <w:p>
      <w:pPr>
        <w:pStyle w:val="Heading1"/>
      </w:pPr>
      <w:r>
        <w:t>Audit Requirements</w:t>
      </w:r>
    </w:p>
    <w:p>
      <w:r>
        <w:t>Every action taken under this SOP must be logged against the account with agent ID, timestamp, and outcome for audit and quality-review purposes.</w:t>
      </w:r>
    </w:p>
    <w:p>
      <w:pPr>
        <w:pStyle w:val="Heading1"/>
      </w:pPr>
      <w:r>
        <w:t>Related Documents</w:t>
      </w:r>
    </w:p>
    <w:p>
      <w:r>
        <w:t>KB_C05_sim_swap_troubleshooting, FAQ_C05_002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