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Handling Unauthorised VAS Subscription Complaints</w:t>
      </w:r>
    </w:p>
    <w:p/>
    <w:p>
      <w:r>
        <w:t>Document ID: SOP_C10_VAS_DISPUTE</w:t>
      </w:r>
    </w:p>
    <w:p>
      <w:r>
        <w:t>Category: C10 — Value Added Services (VAS)</w:t>
      </w:r>
    </w:p>
    <w:p>
      <w:r>
        <w:t>Department: Product</w:t>
      </w:r>
    </w:p>
    <w:p>
      <w:r>
        <w:t>Customer Scope: all</w:t>
      </w:r>
    </w:p>
    <w:p>
      <w:r>
        <w:t>Version: 1.0    Last Updated: 2026-08-08    Source Authority: Internal Knowledge Base</w:t>
      </w:r>
    </w:p>
    <w:p/>
    <w:p>
      <w:pPr>
        <w:pStyle w:val="Heading1"/>
      </w:pPr>
      <w:r>
        <w:t>Purpose</w:t>
      </w:r>
    </w:p>
    <w:p>
      <w:r>
        <w:t>To ensure unauthorised Value Added Service (VAS) charges are investigated and refunded consistently, per consent-based subscription regulations.</w:t>
      </w:r>
    </w:p>
    <w:p>
      <w:pPr>
        <w:pStyle w:val="Heading1"/>
      </w:pPr>
      <w:r>
        <w:t>Scope</w:t>
      </w:r>
    </w:p>
    <w:p>
      <w:r>
        <w:t>Applies to all channels and customer segments unless a specific exception is noted below.</w:t>
      </w:r>
    </w:p>
    <w:p>
      <w:pPr>
        <w:pStyle w:val="Heading1"/>
      </w:pPr>
      <w:r>
        <w:t>Preconditions</w:t>
      </w:r>
    </w:p>
    <w:p>
      <w:pPr>
        <w:pStyle w:val="ListParagraph"/>
      </w:pPr>
      <w:r>
        <w:t>Customer identity verified (registered number and OTP where applicable).</w:t>
      </w:r>
    </w:p>
    <w:p>
      <w:pPr>
        <w:pStyle w:val="ListParagraph"/>
      </w:pPr>
      <w:r>
        <w:t>Account is active and not under a fraud, legal, or compliance hold.</w:t>
      </w:r>
    </w:p>
    <w:p>
      <w:pPr>
        <w:pStyle w:val="Heading1"/>
      </w:pPr>
      <w:r>
        <w:t>Roles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First-line Agent</w:t>
            </w:r>
          </w:p>
        </w:tc>
        <w:tc>
          <w:tcPr>
            <w:tcW w:type="dxa" w:w="4320"/>
          </w:tcPr>
          <w:p>
            <w:r>
              <w:t>Verify identity, apply standard steps, escalate if unresolved</w:t>
            </w:r>
          </w:p>
        </w:tc>
      </w:tr>
      <w:tr>
        <w:tc>
          <w:tcPr>
            <w:tcW w:type="dxa" w:w="4320"/>
          </w:tcPr>
          <w:p>
            <w:r>
              <w:t>Product Team</w:t>
            </w:r>
          </w:p>
        </w:tc>
        <w:tc>
          <w:tcPr>
            <w:tcW w:type="dxa" w:w="4320"/>
          </w:tcPr>
          <w:p>
            <w:r>
              <w:t>Handle escalations and cases requiring backend access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Review cases breaching SLA and approve exceptions</w:t>
            </w:r>
          </w:p>
        </w:tc>
      </w:tr>
    </w:tbl>
    <w:p>
      <w:pPr>
        <w:pStyle w:val="Heading1"/>
      </w:pPr>
      <w:r>
        <w:t>Required Information</w:t>
      </w:r>
    </w:p>
    <w:p>
      <w:pPr>
        <w:pStyle w:val="ListParagraph"/>
      </w:pPr>
      <w:r>
        <w:t>Registered mobile number / account ID.</w:t>
      </w:r>
    </w:p>
    <w:p>
      <w:pPr>
        <w:pStyle w:val="ListParagraph"/>
      </w:pPr>
      <w:r>
        <w:t>Nature of the request and any reference numbers already issued.</w:t>
      </w:r>
    </w:p>
    <w:p>
      <w:pPr>
        <w:pStyle w:val="ListParagraph"/>
      </w:pPr>
      <w:r>
        <w:t>Relevant transaction or ticket ID, where applicable.</w:t>
      </w:r>
    </w:p>
    <w:p>
      <w:pPr>
        <w:pStyle w:val="Heading1"/>
      </w:pPr>
      <w:r>
        <w:t>Procedure</w:t>
      </w:r>
    </w:p>
    <w:p>
      <w:pPr>
        <w:pStyle w:val="ListParagraph"/>
      </w:pPr>
      <w:r>
        <w:t>Pull the VAS activation log for the disputed service, including channel (SMS/USSD/WAP click/app) and timestamp.</w:t>
      </w:r>
    </w:p>
    <w:p>
      <w:pPr>
        <w:pStyle w:val="ListParagraph"/>
      </w:pPr>
      <w:r>
        <w:t>If consent cannot be clearly evidenced, approve a full refund of charges for the disputed service.</w:t>
      </w:r>
    </w:p>
    <w:p>
      <w:pPr>
        <w:pStyle w:val="ListParagraph"/>
      </w:pPr>
      <w:r>
        <w:t>Deactivate the VAS immediately regardless of the consent outcome, if the customer requests deactivation.</w:t>
      </w:r>
    </w:p>
    <w:p>
      <w:pPr>
        <w:pStyle w:val="ListParagraph"/>
      </w:pPr>
      <w:r>
        <w:t>Log the activation channel for pattern analysis — repeated unconsented activations from a single VAS partner are escalated to Legal/Compliance.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If Failed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Pull the VAS activation log for the disputed service, including channe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If consent cannot be clearly evidenced, approve a full refund of charg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Deactivate the VAS immediately regardless of the consent outcome, if t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Log the activation channel for pattern analysis — repeated unconsented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</w:tbl>
    <w:p>
      <w:pPr>
        <w:pStyle w:val="Heading1"/>
      </w:pPr>
      <w:r>
        <w:t>Decision Points</w:t>
      </w:r>
    </w:p>
    <w:p>
      <w:pPr>
        <w:pStyle w:val="ListParagraph"/>
      </w:pPr>
      <w:r>
        <w:t>If the request qualifies under standard criteria, proceed with automatic processing.</w:t>
      </w:r>
    </w:p>
    <w:p>
      <w:pPr>
        <w:pStyle w:val="ListParagraph"/>
      </w:pPr>
      <w:r>
        <w:t>If suspected fraud indicators are present at any step, halt standard processing and route per the Fraud &amp; Security Response SOP.</w:t>
      </w:r>
    </w:p>
    <w:p>
      <w:pPr>
        <w:pStyle w:val="Heading1"/>
      </w:pPr>
      <w:r>
        <w:t>Exception Handling</w:t>
      </w:r>
    </w:p>
    <w:p>
      <w:pPr>
        <w:pStyle w:val="ListParagraph"/>
      </w:pPr>
      <w:r>
        <w:t>Cases outside standard scope require supervisor sign-off before proceeding.</w:t>
      </w:r>
    </w:p>
    <w:p>
      <w:pPr>
        <w:pStyle w:val="Heading1"/>
      </w:pPr>
      <w:r>
        <w:t>Validation</w:t>
      </w:r>
    </w:p>
    <w:p>
      <w:r>
        <w:t>Confirm the account/system reflects the expected end state before the case is closed, and obtain customer confirmation where applicable.</w:t>
      </w:r>
    </w:p>
    <w:p>
      <w:pPr>
        <w:pStyle w:val="Heading1"/>
      </w:pPr>
      <w:r>
        <w:t>Escalation</w:t>
      </w:r>
    </w:p>
    <w:p>
      <w:pPr>
        <w:pStyle w:val="ListParagraph"/>
      </w:pPr>
      <w:r>
        <w:t>Unresolved cases are automatically flagged for supervisor review after the stated SLA window, ensuring no request is left without a defined next action.</w:t>
      </w:r>
    </w:p>
    <w:p>
      <w:pPr>
        <w:pStyle w:val="Heading1"/>
      </w:pPr>
      <w:r>
        <w:t>SLA / Timing</w:t>
      </w:r>
    </w:p>
    <w:p>
      <w:r>
        <w:t>Standard cases are resolved within 24-48 hours; escalated cases carry a 3-5 working day SLA.</w:t>
      </w:r>
    </w:p>
    <w:p>
      <w:pPr>
        <w:pStyle w:val="Heading1"/>
      </w:pPr>
      <w:r>
        <w:t>Audit Requirements</w:t>
      </w:r>
    </w:p>
    <w:p>
      <w:r>
        <w:t>Every action taken under this SOP must be logged against the account with agent ID, timestamp, and outcome for audit and quality-review purposes.</w:t>
      </w:r>
    </w:p>
    <w:p>
      <w:pPr>
        <w:pStyle w:val="Heading1"/>
      </w:pPr>
      <w:r>
        <w:t>Related Documents</w:t>
      </w:r>
    </w:p>
    <w:p>
      <w:r>
        <w:t>FAQ_C10_001, TRN_001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