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New Connection and Re-Verification KYC Procedure</w:t>
      </w:r>
    </w:p>
    <w:p/>
    <w:p>
      <w:r>
        <w:t>Document ID: SOP_C17_KYC_VERIFICATION</w:t>
      </w:r>
    </w:p>
    <w:p>
      <w:r>
        <w:t>Category: C17 — KYC &amp; Identity Verification</w:t>
      </w:r>
    </w:p>
    <w:p>
      <w:r>
        <w:t>Department: Compliance</w:t>
      </w:r>
    </w:p>
    <w:p>
      <w:r>
        <w:t>Customer Scope: all</w:t>
      </w:r>
    </w:p>
    <w:p>
      <w:r>
        <w:t>Version: 1.0    Last Updated: 2026-08-08    Source Authority: Internal Knowledge Base</w:t>
      </w:r>
    </w:p>
    <w:p/>
    <w:p>
      <w:pPr>
        <w:pStyle w:val="Heading1"/>
      </w:pPr>
      <w:r>
        <w:t>Purpose</w:t>
      </w:r>
    </w:p>
    <w:p>
      <w:r>
        <w:t>To ensure all new connections and periodic re-verifications meet regulatory KYC standards.</w:t>
      </w:r>
    </w:p>
    <w:p>
      <w:pPr>
        <w:pStyle w:val="Heading1"/>
      </w:pPr>
      <w:r>
        <w:t>Scope</w:t>
      </w:r>
    </w:p>
    <w:p>
      <w:r>
        <w:t>Applies to all channels and customer segments unless a specific exception is noted below.</w:t>
      </w:r>
    </w:p>
    <w:p>
      <w:pPr>
        <w:pStyle w:val="Heading1"/>
      </w:pPr>
      <w:r>
        <w:t>Preconditions</w:t>
      </w:r>
    </w:p>
    <w:p>
      <w:pPr>
        <w:pStyle w:val="ListParagraph"/>
      </w:pPr>
      <w:r>
        <w:t>Customer identity verified (registered number and OTP where applicable).</w:t>
      </w:r>
    </w:p>
    <w:p>
      <w:pPr>
        <w:pStyle w:val="ListParagraph"/>
      </w:pPr>
      <w:r>
        <w:t>Account is active and not under a fraud, legal, or compliance hold.</w:t>
      </w:r>
    </w:p>
    <w:p>
      <w:pPr>
        <w:pStyle w:val="Heading1"/>
      </w:pPr>
      <w:r>
        <w:t>Roles &amp;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First-line Agent</w:t>
            </w:r>
          </w:p>
        </w:tc>
        <w:tc>
          <w:tcPr>
            <w:tcW w:type="dxa" w:w="4320"/>
          </w:tcPr>
          <w:p>
            <w:r>
              <w:t>Verify identity, apply standard steps, escalate if unresolved</w:t>
            </w:r>
          </w:p>
        </w:tc>
      </w:tr>
      <w:tr>
        <w:tc>
          <w:tcPr>
            <w:tcW w:type="dxa" w:w="4320"/>
          </w:tcPr>
          <w:p>
            <w:r>
              <w:t>Compliance Team</w:t>
            </w:r>
          </w:p>
        </w:tc>
        <w:tc>
          <w:tcPr>
            <w:tcW w:type="dxa" w:w="4320"/>
          </w:tcPr>
          <w:p>
            <w:r>
              <w:t>Handle escalations and cases requiring backend access</w:t>
            </w:r>
          </w:p>
        </w:tc>
      </w:tr>
      <w:tr>
        <w:tc>
          <w:tcPr>
            <w:tcW w:type="dxa" w:w="4320"/>
          </w:tcPr>
          <w:p>
            <w:r>
              <w:t>Supervisor</w:t>
            </w:r>
          </w:p>
        </w:tc>
        <w:tc>
          <w:tcPr>
            <w:tcW w:type="dxa" w:w="4320"/>
          </w:tcPr>
          <w:p>
            <w:r>
              <w:t>Review cases breaching SLA and approve exceptions</w:t>
            </w:r>
          </w:p>
        </w:tc>
      </w:tr>
    </w:tbl>
    <w:p>
      <w:pPr>
        <w:pStyle w:val="Heading1"/>
      </w:pPr>
      <w:r>
        <w:t>Required Information</w:t>
      </w:r>
    </w:p>
    <w:p>
      <w:pPr>
        <w:pStyle w:val="ListParagraph"/>
      </w:pPr>
      <w:r>
        <w:t>Registered mobile number / account ID.</w:t>
      </w:r>
    </w:p>
    <w:p>
      <w:pPr>
        <w:pStyle w:val="ListParagraph"/>
      </w:pPr>
      <w:r>
        <w:t>Nature of the request and any reference numbers already issued.</w:t>
      </w:r>
    </w:p>
    <w:p>
      <w:pPr>
        <w:pStyle w:val="ListParagraph"/>
      </w:pPr>
      <w:r>
        <w:t>Relevant transaction or ticket ID, where applicable.</w:t>
      </w:r>
    </w:p>
    <w:p>
      <w:pPr>
        <w:pStyle w:val="Heading1"/>
      </w:pPr>
      <w:r>
        <w:t>Procedure</w:t>
      </w:r>
    </w:p>
    <w:p>
      <w:pPr>
        <w:pStyle w:val="ListParagraph"/>
      </w:pPr>
      <w:r>
        <w:t>Collect one Proof of Identity and one Proof of Address from the approved document list.</w:t>
      </w:r>
    </w:p>
    <w:p>
      <w:pPr>
        <w:pStyle w:val="ListParagraph"/>
      </w:pPr>
      <w:r>
        <w:t>For Aadhaar-based e-KYC, obtain explicit customer consent before OTP-based verification.</w:t>
      </w:r>
    </w:p>
    <w:p>
      <w:pPr>
        <w:pStyle w:val="ListParagraph"/>
      </w:pPr>
      <w:r>
        <w:t>For video-KYC, complete the liveness check, geo-tag capture, and document-to-face match.</w:t>
      </w:r>
    </w:p>
    <w:p>
      <w:pPr>
        <w:pStyle w:val="ListParagraph"/>
      </w:pPr>
      <w:r>
        <w:t>Reject and request re-submission if any document is illegible, expired, or mismatched.</w:t>
      </w:r>
    </w:p>
    <w:p>
      <w:pPr>
        <w:pStyle w:val="ListParagraph"/>
      </w:pPr>
      <w:r>
        <w:t>Store verification records per the data retention schedule in Policy_C19_privacy_policy.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Action</w:t>
            </w:r>
          </w:p>
        </w:tc>
        <w:tc>
          <w:tcPr>
            <w:tcW w:type="dxa" w:w="2160"/>
          </w:tcPr>
          <w:p>
            <w:r>
              <w:t>Expected Result</w:t>
            </w:r>
          </w:p>
        </w:tc>
        <w:tc>
          <w:tcPr>
            <w:tcW w:type="dxa" w:w="2160"/>
          </w:tcPr>
          <w:p>
            <w:r>
              <w:t>If Failed</w:t>
            </w:r>
          </w:p>
        </w:tc>
      </w:tr>
      <w:tr>
        <w:tc>
          <w:tcPr>
            <w:tcW w:type="dxa" w:w="2160"/>
          </w:tcPr>
          <w:p>
            <w:r>
              <w:t>1</w:t>
            </w:r>
          </w:p>
        </w:tc>
        <w:tc>
          <w:tcPr>
            <w:tcW w:type="dxa" w:w="2160"/>
          </w:tcPr>
          <w:p>
            <w:r>
              <w:t>Collect one Proof of Identity and one Proof of Address from the approv</w:t>
            </w:r>
          </w:p>
        </w:tc>
        <w:tc>
          <w:tcPr>
            <w:tcW w:type="dxa" w:w="2160"/>
          </w:tcPr>
          <w:p>
            <w:r>
              <w:t>Request progressed / resolved</w:t>
            </w:r>
          </w:p>
        </w:tc>
        <w:tc>
          <w:tcPr>
            <w:tcW w:type="dxa" w:w="2160"/>
          </w:tcPr>
          <w:p>
            <w:r>
              <w:t>Escalate to next tier</w:t>
            </w:r>
          </w:p>
        </w:tc>
      </w:tr>
      <w:tr>
        <w:tc>
          <w:tcPr>
            <w:tcW w:type="dxa" w:w="2160"/>
          </w:tcPr>
          <w:p>
            <w:r>
              <w:t>2</w:t>
            </w:r>
          </w:p>
        </w:tc>
        <w:tc>
          <w:tcPr>
            <w:tcW w:type="dxa" w:w="2160"/>
          </w:tcPr>
          <w:p>
            <w:r>
              <w:t>For Aadhaar-based e-KYC, obtain explicit customer consent before OTP-b</w:t>
            </w:r>
          </w:p>
        </w:tc>
        <w:tc>
          <w:tcPr>
            <w:tcW w:type="dxa" w:w="2160"/>
          </w:tcPr>
          <w:p>
            <w:r>
              <w:t>Request progressed / resolved</w:t>
            </w:r>
          </w:p>
        </w:tc>
        <w:tc>
          <w:tcPr>
            <w:tcW w:type="dxa" w:w="2160"/>
          </w:tcPr>
          <w:p>
            <w:r>
              <w:t>Escalate to next tier</w:t>
            </w:r>
          </w:p>
        </w:tc>
      </w:tr>
      <w:tr>
        <w:tc>
          <w:tcPr>
            <w:tcW w:type="dxa" w:w="2160"/>
          </w:tcPr>
          <w:p>
            <w:r>
              <w:t>3</w:t>
            </w:r>
          </w:p>
        </w:tc>
        <w:tc>
          <w:tcPr>
            <w:tcW w:type="dxa" w:w="2160"/>
          </w:tcPr>
          <w:p>
            <w:r>
              <w:t>For video-KYC, complete the liveness check, geo-tag capture, and docum</w:t>
            </w:r>
          </w:p>
        </w:tc>
        <w:tc>
          <w:tcPr>
            <w:tcW w:type="dxa" w:w="2160"/>
          </w:tcPr>
          <w:p>
            <w:r>
              <w:t>Request progressed / resolved</w:t>
            </w:r>
          </w:p>
        </w:tc>
        <w:tc>
          <w:tcPr>
            <w:tcW w:type="dxa" w:w="2160"/>
          </w:tcPr>
          <w:p>
            <w:r>
              <w:t>Escalate to next tier</w:t>
            </w:r>
          </w:p>
        </w:tc>
      </w:tr>
      <w:tr>
        <w:tc>
          <w:tcPr>
            <w:tcW w:type="dxa" w:w="2160"/>
          </w:tcPr>
          <w:p>
            <w:r>
              <w:t>4</w:t>
            </w:r>
          </w:p>
        </w:tc>
        <w:tc>
          <w:tcPr>
            <w:tcW w:type="dxa" w:w="2160"/>
          </w:tcPr>
          <w:p>
            <w:r>
              <w:t>Reject and request re-submission if any document is illegible, expired</w:t>
            </w:r>
          </w:p>
        </w:tc>
        <w:tc>
          <w:tcPr>
            <w:tcW w:type="dxa" w:w="2160"/>
          </w:tcPr>
          <w:p>
            <w:r>
              <w:t>Request progressed / resolved</w:t>
            </w:r>
          </w:p>
        </w:tc>
        <w:tc>
          <w:tcPr>
            <w:tcW w:type="dxa" w:w="2160"/>
          </w:tcPr>
          <w:p>
            <w:r>
              <w:t>Escalate to next tier</w:t>
            </w:r>
          </w:p>
        </w:tc>
      </w:tr>
    </w:tbl>
    <w:p>
      <w:pPr>
        <w:pStyle w:val="Heading1"/>
      </w:pPr>
      <w:r>
        <w:t>Decision Points</w:t>
      </w:r>
    </w:p>
    <w:p>
      <w:pPr>
        <w:pStyle w:val="ListParagraph"/>
      </w:pPr>
      <w:r>
        <w:t>If the request qualifies under standard criteria, proceed with automatic processing.</w:t>
      </w:r>
    </w:p>
    <w:p>
      <w:pPr>
        <w:pStyle w:val="ListParagraph"/>
      </w:pPr>
      <w:r>
        <w:t>If suspected fraud indicators are present at any step, halt standard processing and route per the Fraud &amp; Security Response SOP.</w:t>
      </w:r>
    </w:p>
    <w:p>
      <w:pPr>
        <w:pStyle w:val="Heading1"/>
      </w:pPr>
      <w:r>
        <w:t>Exception Handling</w:t>
      </w:r>
    </w:p>
    <w:p>
      <w:pPr>
        <w:pStyle w:val="ListParagraph"/>
      </w:pPr>
      <w:r>
        <w:t>Cases outside standard scope require supervisor sign-off before proceeding.</w:t>
      </w:r>
    </w:p>
    <w:p>
      <w:pPr>
        <w:pStyle w:val="Heading1"/>
      </w:pPr>
      <w:r>
        <w:t>Validation</w:t>
      </w:r>
    </w:p>
    <w:p>
      <w:r>
        <w:t>Confirm the account/system reflects the expected end state before the case is closed, and obtain customer confirmation where applicable.</w:t>
      </w:r>
    </w:p>
    <w:p>
      <w:pPr>
        <w:pStyle w:val="Heading1"/>
      </w:pPr>
      <w:r>
        <w:t>Escalation</w:t>
      </w:r>
    </w:p>
    <w:p>
      <w:pPr>
        <w:pStyle w:val="ListParagraph"/>
      </w:pPr>
      <w:r>
        <w:t>Where first-line steps do not resolve the issue within the stated timeframe, the case is escalated to the next tier with full interaction history attached, and the customer is informed of the new reference and expected timeline.</w:t>
      </w:r>
    </w:p>
    <w:p>
      <w:pPr>
        <w:pStyle w:val="Heading1"/>
      </w:pPr>
      <w:r>
        <w:t>SLA / Timing</w:t>
      </w:r>
    </w:p>
    <w:p>
      <w:r>
        <w:t>First-line resolution target is same working day; escalations to specialist teams carry a 2-3 working day SLA.</w:t>
      </w:r>
    </w:p>
    <w:p>
      <w:pPr>
        <w:pStyle w:val="Heading1"/>
      </w:pPr>
      <w:r>
        <w:t>Audit Requirements</w:t>
      </w:r>
    </w:p>
    <w:p>
      <w:r>
        <w:t>Every action taken under this SOP must be logged against the account with agent ID, timestamp, and outcome for audit and quality-review purposes.</w:t>
      </w:r>
    </w:p>
    <w:p>
      <w:pPr>
        <w:pStyle w:val="Heading1"/>
      </w:pPr>
      <w:r>
        <w:t>Related Documents</w:t>
      </w:r>
    </w:p>
    <w:p>
      <w:r>
        <w:t>KB_C17_kyc_reverification, TRN_004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