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Voluntary Account Closure and Reactivation</w:t>
      </w:r>
    </w:p>
    <w:p/>
    <w:p>
      <w:r>
        <w:t>Document ID: SOP_C21_ACCOUNT_CLOSURE</w:t>
      </w:r>
    </w:p>
    <w:p>
      <w:r>
        <w:t>Category: C21 — Termination &amp; Deactivation</w:t>
      </w:r>
    </w:p>
    <w:p>
      <w:r>
        <w:t>Department: Customer Care</w:t>
      </w:r>
    </w:p>
    <w:p>
      <w:r>
        <w:t>Customer Scope: all</w:t>
      </w:r>
    </w:p>
    <w:p>
      <w:r>
        <w:t>Version: 1.0    Last Updated: 2026-08-08    Source Authority: Internal Knowledge Base</w:t>
      </w:r>
    </w:p>
    <w:p/>
    <w:p>
      <w:pPr>
        <w:pStyle w:val="Heading1"/>
      </w:pPr>
      <w:r>
        <w:t>Purpose</w:t>
      </w:r>
    </w:p>
    <w:p>
      <w:r>
        <w:t>To standardise the closure of active connections and reactivation of connections deactivated for non-payment.</w:t>
      </w:r>
    </w:p>
    <w:p>
      <w:pPr>
        <w:pStyle w:val="Heading1"/>
      </w:pPr>
      <w:r>
        <w:t>Scope</w:t>
      </w:r>
    </w:p>
    <w:p>
      <w:r>
        <w:t>Applies to all channels and customer segments unless a specific exception is noted below.</w:t>
      </w:r>
    </w:p>
    <w:p>
      <w:pPr>
        <w:pStyle w:val="Heading1"/>
      </w:pPr>
      <w:r>
        <w:t>Preconditions</w:t>
      </w:r>
    </w:p>
    <w:p>
      <w:pPr>
        <w:pStyle w:val="ListParagraph"/>
      </w:pPr>
      <w:r>
        <w:t>Customer identity verified (registered number and OTP where applicable).</w:t>
      </w:r>
    </w:p>
    <w:p>
      <w:pPr>
        <w:pStyle w:val="ListParagraph"/>
      </w:pPr>
      <w:r>
        <w:t>Account is active and not under a fraud, legal, or compliance hold.</w:t>
      </w:r>
    </w:p>
    <w:p>
      <w:pPr>
        <w:pStyle w:val="Heading1"/>
      </w:pPr>
      <w:r>
        <w:t>Roles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First-line Agent</w:t>
            </w:r>
          </w:p>
        </w:tc>
        <w:tc>
          <w:tcPr>
            <w:tcW w:type="dxa" w:w="4320"/>
          </w:tcPr>
          <w:p>
            <w:r>
              <w:t>Verify identity, apply standard steps, escalate if unresolved</w:t>
            </w:r>
          </w:p>
        </w:tc>
      </w:tr>
      <w:tr>
        <w:tc>
          <w:tcPr>
            <w:tcW w:type="dxa" w:w="4320"/>
          </w:tcPr>
          <w:p>
            <w:r>
              <w:t>Customer Care Team</w:t>
            </w:r>
          </w:p>
        </w:tc>
        <w:tc>
          <w:tcPr>
            <w:tcW w:type="dxa" w:w="4320"/>
          </w:tcPr>
          <w:p>
            <w:r>
              <w:t>Handle escalations and cases requiring backend access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Review cases breaching SLA and approve exceptions</w:t>
            </w:r>
          </w:p>
        </w:tc>
      </w:tr>
    </w:tbl>
    <w:p>
      <w:pPr>
        <w:pStyle w:val="Heading1"/>
      </w:pPr>
      <w:r>
        <w:t>Required Information</w:t>
      </w:r>
    </w:p>
    <w:p>
      <w:pPr>
        <w:pStyle w:val="ListParagraph"/>
      </w:pPr>
      <w:r>
        <w:t>Registered mobile number / account ID.</w:t>
      </w:r>
    </w:p>
    <w:p>
      <w:pPr>
        <w:pStyle w:val="ListParagraph"/>
      </w:pPr>
      <w:r>
        <w:t>Nature of the request and any reference numbers already issued.</w:t>
      </w:r>
    </w:p>
    <w:p>
      <w:pPr>
        <w:pStyle w:val="ListParagraph"/>
      </w:pPr>
      <w:r>
        <w:t>Relevant transaction or ticket ID, where applicable.</w:t>
      </w:r>
    </w:p>
    <w:p>
      <w:pPr>
        <w:pStyle w:val="Heading1"/>
      </w:pPr>
      <w:r>
        <w:t>Procedure</w:t>
      </w:r>
    </w:p>
    <w:p>
      <w:pPr>
        <w:pStyle w:val="ListParagraph"/>
      </w:pPr>
      <w:r>
        <w:t>Verify request details.</w:t>
      </w:r>
    </w:p>
    <w:p>
      <w:pPr>
        <w:pStyle w:val="ListParagraph"/>
      </w:pPr>
      <w:r>
        <w:t>Apply the standard resolution steps.</w:t>
      </w:r>
    </w:p>
    <w:p>
      <w:pPr>
        <w:pStyle w:val="ListParagraph"/>
      </w:pPr>
      <w:r>
        <w:t>Confirm outcome with the customer.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If Failed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Verify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Confirm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</w:tbl>
    <w:p>
      <w:pPr>
        <w:pStyle w:val="Heading1"/>
      </w:pPr>
      <w:r>
        <w:t>Decision Points</w:t>
      </w:r>
    </w:p>
    <w:p>
      <w:pPr>
        <w:pStyle w:val="ListParagraph"/>
      </w:pPr>
      <w:r>
        <w:t>If the request qualifies under standard criteria, proceed with automatic processing.</w:t>
      </w:r>
    </w:p>
    <w:p>
      <w:pPr>
        <w:pStyle w:val="ListParagraph"/>
      </w:pPr>
      <w:r>
        <w:t>If suspected fraud indicators are present at any step, halt standard processing and route per the Fraud &amp; Security Response SOP.</w:t>
      </w:r>
    </w:p>
    <w:p>
      <w:pPr>
        <w:pStyle w:val="Heading1"/>
      </w:pPr>
      <w:r>
        <w:t>Exception Handling</w:t>
      </w:r>
    </w:p>
    <w:p>
      <w:pPr>
        <w:pStyle w:val="ListParagraph"/>
      </w:pPr>
      <w:r>
        <w:t>Cases outside standard scope require supervisor sign-off before proceeding.</w:t>
      </w:r>
    </w:p>
    <w:p>
      <w:pPr>
        <w:pStyle w:val="Heading1"/>
      </w:pPr>
      <w:r>
        <w:t>Validation</w:t>
      </w:r>
    </w:p>
    <w:p>
      <w:r>
        <w:t>Confirm the account/system reflects the expected end state before the case is closed, and obtain customer confirmation where applicable.</w:t>
      </w:r>
    </w:p>
    <w:p>
      <w:pPr>
        <w:pStyle w:val="Heading1"/>
      </w:pPr>
      <w:r>
        <w:t>Escalation</w:t>
      </w:r>
    </w:p>
    <w:p>
      <w:pPr>
        <w:pStyle w:val="ListParagraph"/>
      </w:pPr>
      <w:r>
        <w:t>Unresolved cases are automatically flagged for supervisor review after the stated SLA window, ensuring no request is left without a defined next action.</w:t>
      </w:r>
    </w:p>
    <w:p>
      <w:pPr>
        <w:pStyle w:val="Heading1"/>
      </w:pPr>
      <w:r>
        <w:t>SLA / Timing</w:t>
      </w:r>
    </w:p>
    <w:p>
      <w:r>
        <w:t>First-line resolution target is same working day; escalations to specialist teams carry a 2-3 working day SLA.</w:t>
      </w:r>
    </w:p>
    <w:p>
      <w:pPr>
        <w:pStyle w:val="Heading1"/>
      </w:pPr>
      <w:r>
        <w:t>Audit Requirements</w:t>
      </w:r>
    </w:p>
    <w:p>
      <w:r>
        <w:t>Every action taken under this SOP must be logged against the account with agent ID, timestamp, and outcome for audit and quality-review purposes.</w:t>
      </w:r>
    </w:p>
    <w:p>
      <w:pPr>
        <w:pStyle w:val="Heading1"/>
      </w:pPr>
      <w:r>
        <w:t>Related Documents</w:t>
      </w:r>
    </w:p>
    <w:p>
      <w:r>
        <w:t>KB_C21_account_closure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