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NovaTel Synthetic Telecom Knowledge Base</w:t>
      </w:r>
    </w:p>
    <w:p>
      <w:pPr>
        <w:pStyle w:val="Heading2"/>
      </w:pPr>
      <w:r>
        <w:t xml:space="preserve">Executive Summary — Generation Plan &amp; RAG Pipeline Mapping</w:t>
      </w:r>
    </w:p>
    <w:p>
      <w:r>
        <w:t xml:space="preserve">Prepared: 8 August 2026    Version: 1.0    Status: Complete</w:t>
      </w:r>
    </w:p>
    <w:p/>
    <w:p>
      <w:pPr>
        <w:pStyle w:val="Heading1"/>
      </w:pPr>
      <w:r>
        <w:t xml:space="preserve">1. Purpose</w:t>
      </w:r>
    </w:p>
    <w:p>
      <w:r>
        <w:t xml:space="preserve">This package delivers a synthetic, fully unstructured telecom knowledge base for a fictional mobile operator, "NovaTel", designed to exercise a Retrieval-Augmented Generation (RAG) ingestion pipeline end to end. It is built from the master prompt specification (see master_prompt.md at the package root) and covers all 29 customer question categories (C01-C29) across 13 document types.</w:t>
      </w:r>
    </w:p>
    <w:p>
      <w:pPr>
        <w:pStyle w:val="Heading1"/>
      </w:pPr>
      <w:r>
        <w:t xml:space="preserve">2. Scoping Note</w:t>
      </w:r>
    </w:p>
    <w:p>
      <w:r>
        <w:t xml:space="preserve">The master prompt specifies a large target volume (e.g. 100-150 FAQs, 30-50 KB articles). To keep this deliverable genuinely reviewable while remaining structurally and substantively complete, volumes were scaled down while preserving full breadth: every one of the 29 question categories is addressed by at least one FAQ, and by additional document types where realistic (SOP, Policy, Incident, RCA, Training, etc.). The manifest and folder structure exactly follow the prompt's specification, so the package can be scaled up later by adding more documents of each type using the same schema without any structural change.</w:t>
      </w:r>
    </w:p>
    <w:p>
      <w:pPr>
        <w:pStyle w:val="Heading1"/>
      </w:pPr>
      <w:r>
        <w:t xml:space="preserve">3. Document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50"/>
            <w:shd w:fill="D9E2F3" w:val="clear"/>
          </w:tcPr>
          <w:p>
            <w:r>
              <w:rPr>
                <w:b/>
                <w:bCs/>
              </w:rPr>
              <w:t xml:space="preserve">Document Type</w:t>
            </w:r>
          </w:p>
        </w:tc>
        <w:tc>
          <w:tcPr>
            <w:tcW w:type="dxa" w:w="2250"/>
            <w:shd w:fill="D9E2F3" w:val="clear"/>
          </w:tcPr>
          <w:p>
            <w:r>
              <w:rPr>
                <w:b/>
                <w:bCs/>
              </w:rPr>
              <w:t xml:space="preserve">Format</w:t>
            </w:r>
          </w:p>
        </w:tc>
        <w:tc>
          <w:tcPr>
            <w:tcW w:type="dxa" w:w="2250"/>
            <w:shd w:fill="D9E2F3" w:val="clear"/>
          </w:tcPr>
          <w:p>
            <w:r>
              <w:rPr>
                <w:b/>
                <w:bCs/>
              </w:rPr>
              <w:t xml:space="preserve">Count Generated</w:t>
            </w:r>
          </w:p>
        </w:tc>
      </w:tr>
      <w:tr>
        <w:tc>
          <w:tcPr>
            <w:tcW w:type="dxa" w:w="2250"/>
          </w:tcPr>
          <w:p>
            <w:r>
              <w:rPr>
                <w:b w:val="false"/>
                <w:bCs w:val="false"/>
              </w:rPr>
              <w:t xml:space="preserve">FAQs</w:t>
            </w:r>
          </w:p>
        </w:tc>
        <w:tc>
          <w:tcPr>
            <w:tcW w:type="dxa" w:w="2250"/>
          </w:tcPr>
          <w:p>
            <w:r>
              <w:rPr>
                <w:b w:val="false"/>
                <w:bCs w:val="false"/>
              </w:rPr>
              <w:t xml:space="preserve">JSON</w:t>
            </w:r>
          </w:p>
        </w:tc>
        <w:tc>
          <w:tcPr>
            <w:tcW w:type="dxa" w:w="2250"/>
          </w:tcPr>
          <w:p>
            <w:r>
              <w:rPr>
                <w:b w:val="false"/>
                <w:bCs w:val="false"/>
              </w:rPr>
              <w:t xml:space="preserve">58</w:t>
            </w:r>
          </w:p>
        </w:tc>
      </w:tr>
      <w:tr>
        <w:tc>
          <w:tcPr>
            <w:tcW w:type="dxa" w:w="2250"/>
          </w:tcPr>
          <w:p>
            <w:r>
              <w:rPr>
                <w:b w:val="false"/>
                <w:bCs w:val="false"/>
              </w:rPr>
              <w:t xml:space="preserve">KB Articles</w:t>
            </w:r>
          </w:p>
        </w:tc>
        <w:tc>
          <w:tcPr>
            <w:tcW w:type="dxa" w:w="2250"/>
          </w:tcPr>
          <w:p>
            <w:r>
              <w:rPr>
                <w:b w:val="false"/>
                <w:bCs w:val="false"/>
              </w:rPr>
              <w:t xml:space="preserve">Markdown</w:t>
            </w:r>
          </w:p>
        </w:tc>
        <w:tc>
          <w:tcPr>
            <w:tcW w:type="dxa" w:w="2250"/>
          </w:tcPr>
          <w:p>
            <w:r>
              <w:rPr>
                <w:b w:val="false"/>
                <w:bCs w:val="false"/>
              </w:rPr>
              <w:t xml:space="preserve">21</w:t>
            </w:r>
          </w:p>
        </w:tc>
      </w:tr>
      <w:tr>
        <w:tc>
          <w:tcPr>
            <w:tcW w:type="dxa" w:w="2250"/>
          </w:tcPr>
          <w:p>
            <w:r>
              <w:rPr>
                <w:b w:val="false"/>
                <w:bCs w:val="false"/>
              </w:rPr>
              <w:t xml:space="preserve">SOPs</w:t>
            </w:r>
          </w:p>
        </w:tc>
        <w:tc>
          <w:tcPr>
            <w:tcW w:type="dxa" w:w="2250"/>
          </w:tcPr>
          <w:p>
            <w:r>
              <w:rPr>
                <w:b w:val="false"/>
                <w:bCs w:val="false"/>
              </w:rPr>
              <w:t xml:space="preserve">DOCX</w:t>
            </w:r>
          </w:p>
        </w:tc>
        <w:tc>
          <w:tcPr>
            <w:tcW w:type="dxa" w:w="2250"/>
          </w:tcPr>
          <w:p>
            <w:r>
              <w:rPr>
                <w:b w:val="false"/>
                <w:bCs w:val="false"/>
              </w:rPr>
              <w:t xml:space="preserve">12</w:t>
            </w:r>
          </w:p>
        </w:tc>
      </w:tr>
      <w:tr>
        <w:tc>
          <w:tcPr>
            <w:tcW w:type="dxa" w:w="2250"/>
          </w:tcPr>
          <w:p>
            <w:r>
              <w:rPr>
                <w:b w:val="false"/>
                <w:bCs w:val="false"/>
              </w:rPr>
              <w:t xml:space="preserve">Policies</w:t>
            </w:r>
          </w:p>
        </w:tc>
        <w:tc>
          <w:tcPr>
            <w:tcW w:type="dxa" w:w="2250"/>
          </w:tcPr>
          <w:p>
            <w:r>
              <w:rPr>
                <w:b w:val="false"/>
                <w:bCs w:val="false"/>
              </w:rPr>
              <w:t xml:space="preserve">DOCX</w:t>
            </w:r>
          </w:p>
        </w:tc>
        <w:tc>
          <w:tcPr>
            <w:tcW w:type="dxa" w:w="2250"/>
          </w:tcPr>
          <w:p>
            <w:r>
              <w:rPr>
                <w:b w:val="false"/>
                <w:bCs w:val="false"/>
              </w:rPr>
              <w:t xml:space="preserve">8</w:t>
            </w:r>
          </w:p>
        </w:tc>
      </w:tr>
      <w:tr>
        <w:tc>
          <w:tcPr>
            <w:tcW w:type="dxa" w:w="2250"/>
          </w:tcPr>
          <w:p>
            <w:r>
              <w:rPr>
                <w:b w:val="false"/>
                <w:bCs w:val="false"/>
              </w:rPr>
              <w:t xml:space="preserve">Incident Reports</w:t>
            </w:r>
          </w:p>
        </w:tc>
        <w:tc>
          <w:tcPr>
            <w:tcW w:type="dxa" w:w="2250"/>
          </w:tcPr>
          <w:p>
            <w:r>
              <w:rPr>
                <w:b w:val="false"/>
                <w:bCs w:val="false"/>
              </w:rPr>
              <w:t xml:space="preserve">Markdown</w:t>
            </w:r>
          </w:p>
        </w:tc>
        <w:tc>
          <w:tcPr>
            <w:tcW w:type="dxa" w:w="2250"/>
          </w:tcPr>
          <w:p>
            <w:r>
              <w:rPr>
                <w:b w:val="false"/>
                <w:bCs w:val="false"/>
              </w:rPr>
              <w:t xml:space="preserve">10</w:t>
            </w:r>
          </w:p>
        </w:tc>
      </w:tr>
      <w:tr>
        <w:tc>
          <w:tcPr>
            <w:tcW w:type="dxa" w:w="2250"/>
          </w:tcPr>
          <w:p>
            <w:r>
              <w:rPr>
                <w:b w:val="false"/>
                <w:bCs w:val="false"/>
              </w:rPr>
              <w:t xml:space="preserve">RCAs</w:t>
            </w:r>
          </w:p>
        </w:tc>
        <w:tc>
          <w:tcPr>
            <w:tcW w:type="dxa" w:w="2250"/>
          </w:tcPr>
          <w:p>
            <w:r>
              <w:rPr>
                <w:b w:val="false"/>
                <w:bCs w:val="false"/>
              </w:rPr>
              <w:t xml:space="preserve">DOCX</w:t>
            </w:r>
          </w:p>
        </w:tc>
        <w:tc>
          <w:tcPr>
            <w:tcW w:type="dxa" w:w="2250"/>
          </w:tcPr>
          <w:p>
            <w:r>
              <w:rPr>
                <w:b w:val="false"/>
                <w:bCs w:val="false"/>
              </w:rPr>
              <w:t xml:space="preserve">5</w:t>
            </w:r>
          </w:p>
        </w:tc>
      </w:tr>
      <w:tr>
        <w:tc>
          <w:tcPr>
            <w:tcW w:type="dxa" w:w="2250"/>
          </w:tcPr>
          <w:p>
            <w:r>
              <w:rPr>
                <w:b w:val="false"/>
                <w:bCs w:val="false"/>
              </w:rPr>
              <w:t xml:space="preserve">Training Manuals</w:t>
            </w:r>
          </w:p>
        </w:tc>
        <w:tc>
          <w:tcPr>
            <w:tcW w:type="dxa" w:w="2250"/>
          </w:tcPr>
          <w:p>
            <w:r>
              <w:rPr>
                <w:b w:val="false"/>
                <w:bCs w:val="false"/>
              </w:rPr>
              <w:t xml:space="preserve">Markdown</w:t>
            </w:r>
          </w:p>
        </w:tc>
        <w:tc>
          <w:tcPr>
            <w:tcW w:type="dxa" w:w="2250"/>
          </w:tcPr>
          <w:p>
            <w:r>
              <w:rPr>
                <w:b w:val="false"/>
                <w:bCs w:val="false"/>
              </w:rPr>
              <w:t xml:space="preserve">4</w:t>
            </w:r>
          </w:p>
        </w:tc>
      </w:tr>
      <w:tr>
        <w:tc>
          <w:tcPr>
            <w:tcW w:type="dxa" w:w="2250"/>
          </w:tcPr>
          <w:p>
            <w:r>
              <w:rPr>
                <w:b w:val="false"/>
                <w:bCs w:val="false"/>
              </w:rPr>
              <w:t xml:space="preserve">Release Notes</w:t>
            </w:r>
          </w:p>
        </w:tc>
        <w:tc>
          <w:tcPr>
            <w:tcW w:type="dxa" w:w="2250"/>
          </w:tcPr>
          <w:p>
            <w:r>
              <w:rPr>
                <w:b w:val="false"/>
                <w:bCs w:val="false"/>
              </w:rPr>
              <w:t xml:space="preserve">Markdown</w:t>
            </w:r>
          </w:p>
        </w:tc>
        <w:tc>
          <w:tcPr>
            <w:tcW w:type="dxa" w:w="2250"/>
          </w:tcPr>
          <w:p>
            <w:r>
              <w:rPr>
                <w:b w:val="false"/>
                <w:bCs w:val="false"/>
              </w:rPr>
              <w:t xml:space="preserve">3</w:t>
            </w:r>
          </w:p>
        </w:tc>
      </w:tr>
      <w:tr>
        <w:tc>
          <w:tcPr>
            <w:tcW w:type="dxa" w:w="2250"/>
          </w:tcPr>
          <w:p>
            <w:r>
              <w:rPr>
                <w:b w:val="false"/>
                <w:bCs w:val="false"/>
              </w:rPr>
              <w:t xml:space="preserve">Tariff Catalogues</w:t>
            </w:r>
          </w:p>
        </w:tc>
        <w:tc>
          <w:tcPr>
            <w:tcW w:type="dxa" w:w="2250"/>
          </w:tcPr>
          <w:p>
            <w:r>
              <w:rPr>
                <w:b w:val="false"/>
                <w:bCs w:val="false"/>
              </w:rPr>
              <w:t xml:space="preserve">Markdown</w:t>
            </w:r>
          </w:p>
        </w:tc>
        <w:tc>
          <w:tcPr>
            <w:tcW w:type="dxa" w:w="2250"/>
          </w:tcPr>
          <w:p>
            <w:r>
              <w:rPr>
                <w:b w:val="false"/>
                <w:bCs w:val="false"/>
              </w:rPr>
              <w:t xml:space="preserve">2</w:t>
            </w:r>
          </w:p>
        </w:tc>
      </w:tr>
      <w:tr>
        <w:tc>
          <w:tcPr>
            <w:tcW w:type="dxa" w:w="2250"/>
          </w:tcPr>
          <w:p>
            <w:r>
              <w:rPr>
                <w:b w:val="false"/>
                <w:bCs w:val="false"/>
              </w:rPr>
              <w:t xml:space="preserve">Coverage Map Descriptions</w:t>
            </w:r>
          </w:p>
        </w:tc>
        <w:tc>
          <w:tcPr>
            <w:tcW w:type="dxa" w:w="2250"/>
          </w:tcPr>
          <w:p>
            <w:r>
              <w:rPr>
                <w:b w:val="false"/>
                <w:bCs w:val="false"/>
              </w:rPr>
              <w:t xml:space="preserve">Markdown</w:t>
            </w:r>
          </w:p>
        </w:tc>
        <w:tc>
          <w:tcPr>
            <w:tcW w:type="dxa" w:w="2250"/>
          </w:tcPr>
          <w:p>
            <w:r>
              <w:rPr>
                <w:b w:val="false"/>
                <w:bCs w:val="false"/>
              </w:rPr>
              <w:t xml:space="preserve">2</w:t>
            </w:r>
          </w:p>
        </w:tc>
      </w:tr>
      <w:tr>
        <w:tc>
          <w:tcPr>
            <w:tcW w:type="dxa" w:w="2250"/>
          </w:tcPr>
          <w:p>
            <w:r>
              <w:rPr>
                <w:b w:val="false"/>
                <w:bCs w:val="false"/>
              </w:rPr>
              <w:t xml:space="preserve">User Manuals</w:t>
            </w:r>
          </w:p>
        </w:tc>
        <w:tc>
          <w:tcPr>
            <w:tcW w:type="dxa" w:w="2250"/>
          </w:tcPr>
          <w:p>
            <w:r>
              <w:rPr>
                <w:b w:val="false"/>
                <w:bCs w:val="false"/>
              </w:rPr>
              <w:t xml:space="preserve">Markdown</w:t>
            </w:r>
          </w:p>
        </w:tc>
        <w:tc>
          <w:tcPr>
            <w:tcW w:type="dxa" w:w="2250"/>
          </w:tcPr>
          <w:p>
            <w:r>
              <w:rPr>
                <w:b w:val="false"/>
                <w:bCs w:val="false"/>
              </w:rPr>
              <w:t xml:space="preserve">5</w:t>
            </w:r>
          </w:p>
        </w:tc>
      </w:tr>
      <w:tr>
        <w:tc>
          <w:tcPr>
            <w:tcW w:type="dxa" w:w="2250"/>
          </w:tcPr>
          <w:p>
            <w:r>
              <w:rPr>
                <w:b w:val="false"/>
                <w:bCs w:val="false"/>
              </w:rPr>
              <w:t xml:space="preserve">Support Transcripts</w:t>
            </w:r>
          </w:p>
        </w:tc>
        <w:tc>
          <w:tcPr>
            <w:tcW w:type="dxa" w:w="2250"/>
          </w:tcPr>
          <w:p>
            <w:r>
              <w:rPr>
                <w:b w:val="false"/>
                <w:bCs w:val="false"/>
              </w:rPr>
              <w:t xml:space="preserve">Markdown</w:t>
            </w:r>
          </w:p>
        </w:tc>
        <w:tc>
          <w:tcPr>
            <w:tcW w:type="dxa" w:w="2250"/>
          </w:tcPr>
          <w:p>
            <w:r>
              <w:rPr>
                <w:b w:val="false"/>
                <w:bCs w:val="false"/>
              </w:rPr>
              <w:t xml:space="preserve">8</w:t>
            </w:r>
          </w:p>
        </w:tc>
      </w:tr>
      <w:tr>
        <w:tc>
          <w:tcPr>
            <w:tcW w:type="dxa" w:w="2250"/>
          </w:tcPr>
          <w:p>
            <w:r>
              <w:rPr>
                <w:b w:val="false"/>
                <w:bCs w:val="false"/>
              </w:rPr>
              <w:t xml:space="preserve">Sample Emails</w:t>
            </w:r>
          </w:p>
        </w:tc>
        <w:tc>
          <w:tcPr>
            <w:tcW w:type="dxa" w:w="2250"/>
          </w:tcPr>
          <w:p>
            <w:r>
              <w:rPr>
                <w:b w:val="false"/>
                <w:bCs w:val="false"/>
              </w:rPr>
              <w:t xml:space="preserve">Markdown</w:t>
            </w:r>
          </w:p>
        </w:tc>
        <w:tc>
          <w:tcPr>
            <w:tcW w:type="dxa" w:w="2250"/>
          </w:tcPr>
          <w:p>
            <w:r>
              <w:rPr>
                <w:b w:val="false"/>
                <w:bCs w:val="false"/>
              </w:rPr>
              <w:t xml:space="preserve">10</w:t>
            </w:r>
          </w:p>
        </w:tc>
      </w:tr>
      <w:tr>
        <w:tc>
          <w:tcPr>
            <w:tcW w:type="dxa" w:w="2250"/>
          </w:tcPr>
          <w:p>
            <w:r>
              <w:rPr>
                <w:b w:val="false"/>
                <w:bCs w:val="false"/>
              </w:rPr>
              <w:t xml:space="preserve">TOTAL</w:t>
            </w:r>
          </w:p>
        </w:tc>
        <w:tc>
          <w:tcPr>
            <w:tcW w:type="dxa" w:w="2250"/>
          </w:tcPr>
          <w:p>
            <w:r>
              <w:rPr>
                <w:b w:val="false"/>
                <w:bCs w:val="false"/>
              </w:rPr>
              <w:t xml:space="preserve">—</w:t>
            </w:r>
          </w:p>
        </w:tc>
        <w:tc>
          <w:tcPr>
            <w:tcW w:type="dxa" w:w="2250"/>
          </w:tcPr>
          <w:p>
            <w:r>
              <w:rPr>
                <w:b w:val="false"/>
                <w:bCs w:val="false"/>
              </w:rPr>
              <w:t xml:space="preserve">148</w:t>
            </w:r>
          </w:p>
        </w:tc>
      </w:tr>
    </w:tbl>
    <w:p/>
    <w:p>
      <w:pPr>
        <w:pStyle w:val="Heading1"/>
      </w:pPr>
      <w:r>
        <w:t xml:space="preserve">4. Package Structure</w:t>
      </w:r>
    </w:p>
    <w:p>
      <w:r>
        <w:t xml:space="preserve">All files sit under data/raw/unstructured/ in per-type folders (faq/, kb/, sops/, policies/, incidents/, rca/, training/, release_notes/, tariff/, coverage_maps/, manuals/, transcripts/, emails/), matching the master prompt's required layout. Two root-level index files support ingestion tooling:</w:t>
      </w:r>
    </w:p>
    <w:p>
      <w:pPr>
        <w:pStyle w:val="ListParagraph"/>
        <w:numPr>
          <w:ilvl w:val="0"/>
          <w:numId w:val="1"/>
        </w:numPr>
      </w:pPr>
      <w:r>
        <w:t xml:space="preserve">document_manifest.json — every document's id, title, type, category, department, format, version, and related_ids</w:t>
      </w:r>
    </w:p>
    <w:p>
      <w:pPr>
        <w:pStyle w:val="ListParagraph"/>
        <w:numPr>
          <w:ilvl w:val="0"/>
          <w:numId w:val="1"/>
        </w:numPr>
      </w:pPr>
      <w:r>
        <w:t xml:space="preserve">source_registry.json — internal vs external source authorities, including the caveat that this is synthetic data</w:t>
      </w:r>
    </w:p>
    <w:p>
      <w:pPr>
        <w:pStyle w:val="Heading1"/>
      </w:pPr>
      <w:r>
        <w:t xml:space="preserve">5. Metadata &amp; Taxonomy</w:t>
      </w:r>
    </w:p>
    <w:p>
      <w:r>
        <w:t xml:space="preserve">Every document carries a consistent metadata schema: document_id, title, category (C01-C29), department, customer_scope, version, last_updated, source_authority, related_ids, and tags. The 29-category taxonomy (Account Management, Billing, Network, Security, Compliance, etc.) is defined once and applied uniformly — see document_type_map.md for the full category-to-document-type mapping and a Mermaid diagram of how question categories flow to supporting content.</w:t>
      </w:r>
    </w:p>
    <w:p>
      <w:pPr>
        <w:pStyle w:val="Heading1"/>
      </w:pPr>
      <w:r>
        <w:t xml:space="preserve">6. Mapping to the RAG Ingestion Pipeline</w:t>
      </w:r>
    </w:p>
    <w:p>
      <w:r>
        <w:t xml:space="preserve">This collection is designed to plug directly into a standard RAG pipeline in three stages:</w:t>
      </w:r>
    </w:p>
    <w:p>
      <w:pPr>
        <w:pStyle w:val="ListParagraph"/>
        <w:numPr>
          <w:ilvl w:val="0"/>
          <w:numId w:val="1"/>
        </w:numPr>
      </w:pPr>
      <w:r>
        <w:t xml:space="preserve">Categorisation — the category and department fields on every document enable metadata filtering at query time, so a billing question can be routed to Billing-tagged chunks before semantic search even runs.</w:t>
      </w:r>
    </w:p>
    <w:p>
      <w:pPr>
        <w:pStyle w:val="ListParagraph"/>
        <w:numPr>
          <w:ilvl w:val="0"/>
          <w:numId w:val="1"/>
        </w:numPr>
      </w:pPr>
      <w:r>
        <w:t xml:space="preserve">Chunking — documents are written with short paragraphs and clear section breaks so they split cleanly into ~500-800 token chunks with 50-100 token overlap, per the master prompt's chunking guidance.</w:t>
      </w:r>
    </w:p>
    <w:p>
      <w:pPr>
        <w:pStyle w:val="ListParagraph"/>
        <w:numPr>
          <w:ilvl w:val="0"/>
          <w:numId w:val="1"/>
        </w:numPr>
      </w:pPr>
      <w:r>
        <w:t xml:space="preserve">Vectorisation — each chunk, once embedded, retains its parent document_id and related_ids in metadata, so retrieval can pull a primary FAQ chunk alongside its linked KB/SOP/Policy chunks for a fuller grounded answer.</w:t>
      </w:r>
    </w:p>
    <w:p>
      <w:r>
        <w:t xml:space="preserve">Example: a query about "why is my data speed slow" (category C09) would retrieve FAQ_C09_001/002, the KB_C09_fup_data_speed article, and — if relevant — INC_C08 network incident chunks, giving the generation model both the policy-level answer and any live operational context.</w:t>
      </w:r>
    </w:p>
    <w:p>
      <w:pPr>
        <w:pStyle w:val="Heading1"/>
      </w:pPr>
      <w:r>
        <w:t xml:space="preserve">7. Data &amp; Compliance Notes</w:t>
      </w:r>
    </w:p>
    <w:p>
      <w:pPr>
        <w:pStyle w:val="ListParagraph"/>
        <w:numPr>
          <w:ilvl w:val="0"/>
          <w:numId w:val="1"/>
        </w:numPr>
      </w:pPr>
      <w:r>
        <w:t xml:space="preserve">No real personal data is used anywhere in this package; all names, numbers, and transaction references are synthetic.</w:t>
      </w:r>
    </w:p>
    <w:p>
      <w:pPr>
        <w:pStyle w:val="ListParagraph"/>
        <w:numPr>
          <w:ilvl w:val="0"/>
          <w:numId w:val="1"/>
        </w:numPr>
      </w:pPr>
      <w:r>
        <w:t xml:space="preserve">Tariff figures are explicitly marked illustrative/synthetic within the relevant documents.</w:t>
      </w:r>
    </w:p>
    <w:p>
      <w:pPr>
        <w:pStyle w:val="ListParagraph"/>
        <w:numPr>
          <w:ilvl w:val="0"/>
          <w:numId w:val="1"/>
        </w:numPr>
      </w:pPr>
      <w:r>
        <w:t xml:space="preserve">Regulatory descriptions (TRAI/DoT references) reflect general public knowledge of the Indian telecom regulatory framework for realism, not verified legal or compliance advice.</w:t>
      </w:r>
    </w:p>
    <w:p>
      <w:pPr>
        <w:pStyle w:val="Heading1"/>
      </w:pPr>
      <w:r>
        <w:t xml:space="preserve">8. Next Steps to Scale This Package</w:t>
      </w:r>
    </w:p>
    <w:p>
      <w:pPr>
        <w:pStyle w:val="ListParagraph"/>
        <w:numPr>
          <w:ilvl w:val="0"/>
          <w:numId w:val="1"/>
        </w:numPr>
      </w:pPr>
      <w:r>
        <w:t xml:space="preserve">Increase per-category FAQ/KB volume toward the master prompt's full target range using the same schema.</w:t>
      </w:r>
    </w:p>
    <w:p>
      <w:pPr>
        <w:pStyle w:val="ListParagraph"/>
        <w:numPr>
          <w:ilvl w:val="0"/>
          <w:numId w:val="1"/>
        </w:numPr>
      </w:pPr>
      <w:r>
        <w:t xml:space="preserve">Add real embedded coverage-map imagery/GeoJSON in place of the current text descriptions.</w:t>
      </w:r>
    </w:p>
    <w:p>
      <w:pPr>
        <w:pStyle w:val="ListParagraph"/>
        <w:numPr>
          <w:ilvl w:val="0"/>
          <w:numId w:val="1"/>
        </w:numPr>
      </w:pPr>
      <w:r>
        <w:t xml:space="preserve">Convert User Manuals to PDF and Policies to PDF if the target RAG pipeline specifically requires those binary formats over DOCX/Markdown.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2026-08-09T12:02:40.701Z</dcterms:created>
  <dcterms:modified xsi:type="dcterms:W3CDTF">2026-08-09T12:02:40.701Z</dcterms:modified>
</cp:coreProperties>
</file>

<file path=docProps/custom.xml><?xml version="1.0" encoding="utf-8"?>
<Properties xmlns="http://schemas.openxmlformats.org/officeDocument/2006/custom-properties" xmlns:vt="http://schemas.openxmlformats.org/officeDocument/2006/docPropsVTypes"/>
</file>