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Prepaid &amp; Postpaid Plan Lifecycle Policy</w:t>
      </w:r>
    </w:p>
    <w:p/>
    <w:p>
      <w:r>
        <w:rPr>
          <w:b/>
          <w:bCs/>
        </w:rPr>
        <w:t xml:space="preserve">Document ID: Policy_C02_plan_lifecycle</w:t>
      </w:r>
    </w:p>
    <w:p>
      <w:r>
        <w:t xml:space="preserve">Category: C02 — Plans &amp; Subscriptions</w:t>
      </w:r>
    </w:p>
    <w:p>
      <w:r>
        <w:t xml:space="preserve">Department: Product</w:t>
      </w:r>
    </w:p>
    <w:p>
      <w:r>
        <w:t xml:space="preserve">Customer Scope: all</w:t>
      </w:r>
    </w:p>
    <w:p>
      <w:r>
        <w:t xml:space="preserve">Version: 1.0    Last Updated: 2026-08-08    Source Authority: Internal Knowledge Base</w:t>
      </w:r>
    </w:p>
    <w:p/>
    <w:p>
      <w:pPr>
        <w:pStyle w:val="Heading1"/>
      </w:pPr>
      <w:r>
        <w:t xml:space="preserve">1. Purpose</w:t>
      </w:r>
    </w:p>
    <w:p>
      <w:r>
        <w:t xml:space="preserve">This policy governs the lifecycle of prepaid and postpaid plans, including activation, validity, renewal, and expiry-related service treatment.</w:t>
      </w:r>
    </w:p>
    <w:p>
      <w:pPr>
        <w:pStyle w:val="Heading1"/>
      </w:pPr>
      <w:r>
        <w:t xml:space="preserve">2. Policy Statements</w:t>
      </w:r>
    </w:p>
    <w:p>
      <w:pPr>
        <w:pStyle w:val="ListParagraph"/>
        <w:numPr>
          <w:ilvl w:val="0"/>
          <w:numId w:val="1"/>
        </w:numPr>
      </w:pPr>
      <w:r>
        <w:t xml:space="preserve">Prepaid plan validity begins at the moment of successful activation and is fixed for the stated duration (e.g., 28/56/84/365 days).</w:t>
      </w:r>
    </w:p>
    <w:p>
      <w:pPr>
        <w:pStyle w:val="ListParagraph"/>
        <w:numPr>
          <w:ilvl w:val="0"/>
          <w:numId w:val="1"/>
        </w:numPr>
      </w:pPr>
      <w:r>
        <w:t xml:space="preserve">On expiry, outgoing services are suspended; incoming services continue for a grace period defined by plan type and licence conditions.</w:t>
      </w:r>
    </w:p>
    <w:p>
      <w:pPr>
        <w:pStyle w:val="ListParagraph"/>
        <w:numPr>
          <w:ilvl w:val="0"/>
          <w:numId w:val="1"/>
        </w:numPr>
      </w:pPr>
      <w:r>
        <w:t xml:space="preserve">Postpaid plan changes take effect either immediately (with pro-rated charges) or from the next billing cycle, per the customer's selection at the time of change.</w:t>
      </w:r>
    </w:p>
    <w:p>
      <w:pPr>
        <w:pStyle w:val="Heading1"/>
      </w:pPr>
      <w:r>
        <w:t xml:space="preserve">3. Exceptions</w:t>
      </w:r>
    </w:p>
    <w:p>
      <w:r>
        <w:t xml:space="preserve">Enterprise pooled plans follow the terms of the signed commercial agreement, which may override standard individual-plan lifecycle rules.</w:t>
      </w:r>
    </w:p>
    <w:p>
      <w:pPr>
        <w:pStyle w:val="Heading1"/>
      </w:pPr>
      <w:r>
        <w:t xml:space="preserve">4. Review Cycle</w:t>
      </w:r>
    </w:p>
    <w:p>
      <w:r>
        <w:t xml:space="preserve">This policy is reviewed annually or upon material regulatory change, whichever is earlier.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2026-08-09T12:01:05.246Z</dcterms:created>
  <dcterms:modified xsi:type="dcterms:W3CDTF">2026-08-09T12:01:05.246Z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