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Billing Dispute Resolution Policy</w:t>
      </w:r>
    </w:p>
    <w:p/>
    <w:p>
      <w:r>
        <w:rPr>
          <w:b/>
          <w:bCs/>
        </w:rPr>
        <w:t xml:space="preserve">Document ID: Policy_C04_billing_disputes</w:t>
      </w:r>
    </w:p>
    <w:p>
      <w:r>
        <w:t xml:space="preserve">Category: C04 — Billing &amp; Invoices</w:t>
      </w:r>
    </w:p>
    <w:p>
      <w:r>
        <w:t xml:space="preserve">Department: Billing</w:t>
      </w:r>
    </w:p>
    <w:p>
      <w:r>
        <w:t xml:space="preserve">Customer Scope: all</w:t>
      </w:r>
    </w:p>
    <w:p>
      <w:r>
        <w:t xml:space="preserve">Version: 1.0    Last Updated: 2026-08-08    Source Authority: Internal Knowledge Base</w:t>
      </w:r>
    </w:p>
    <w:p/>
    <w:p>
      <w:pPr>
        <w:pStyle w:val="Heading1"/>
      </w:pPr>
      <w:r>
        <w:t xml:space="preserve">1. Purpose</w:t>
      </w:r>
    </w:p>
    <w:p>
      <w:r>
        <w:t xml:space="preserve">Defines the framework for customers to dispute billed charges and the timelines for resolution.</w:t>
      </w:r>
    </w:p>
    <w:p>
      <w:pPr>
        <w:pStyle w:val="Heading1"/>
      </w:pPr>
      <w:r>
        <w:t xml:space="preserve">2. Policy Statements</w:t>
      </w:r>
    </w:p>
    <w:p>
      <w:pPr>
        <w:pStyle w:val="ListParagraph"/>
        <w:numPr>
          <w:ilvl w:val="0"/>
          <w:numId w:val="1"/>
        </w:numPr>
      </w:pPr>
      <w:r>
        <w:t xml:space="preserve">Disputes must be raised within 90 days of the relevant bill's generation date.</w:t>
      </w:r>
    </w:p>
    <w:p>
      <w:pPr>
        <w:pStyle w:val="ListParagraph"/>
        <w:numPr>
          <w:ilvl w:val="0"/>
          <w:numId w:val="1"/>
        </w:numPr>
      </w:pPr>
      <w:r>
        <w:t xml:space="preserve">Standard disputes are targeted for resolution within 5-7 working days; complex usage investigations may take up to 15 working days.</w:t>
      </w:r>
    </w:p>
    <w:p>
      <w:pPr>
        <w:pStyle w:val="ListParagraph"/>
        <w:numPr>
          <w:ilvl w:val="0"/>
          <w:numId w:val="1"/>
        </w:numPr>
      </w:pPr>
      <w:r>
        <w:t xml:space="preserve">Charges under active dispute are not sent to external collections until resolution.</w:t>
      </w:r>
    </w:p>
    <w:p>
      <w:pPr>
        <w:pStyle w:val="Heading1"/>
      </w:pPr>
      <w:r>
        <w:t xml:space="preserve">3. Customer Rights</w:t>
      </w:r>
    </w:p>
    <w:p>
      <w:r>
        <w:t xml:space="preserve">Customers dissatisfied with the dispute outcome may escalate per SOP_C16_COMPLAINT_ESCALATION, and ultimately to TRAI or a consumer forum.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2026-08-09T12:01:05.338Z</dcterms:created>
  <dcterms:modified xsi:type="dcterms:W3CDTF">2026-08-09T12:01:05.338Z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