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Customer Identity Verification (KYC) Policy</w:t>
      </w:r>
    </w:p>
    <w:p/>
    <w:p>
      <w:r>
        <w:rPr>
          <w:b/>
          <w:bCs/>
        </w:rPr>
        <w:t xml:space="preserve">Document ID: Policy_C17_kyc_policy</w:t>
      </w:r>
    </w:p>
    <w:p>
      <w:r>
        <w:t xml:space="preserve">Category: C17 — KYC &amp; Identity Verification</w:t>
      </w:r>
    </w:p>
    <w:p>
      <w:r>
        <w:t xml:space="preserve">Department: Compliance</w:t>
      </w:r>
    </w:p>
    <w:p>
      <w:r>
        <w:t xml:space="preserve">Customer Scope: all</w:t>
      </w:r>
    </w:p>
    <w:p>
      <w:r>
        <w:t xml:space="preserve">Version: 1.0    Last Updated: 2026-08-08    Source Authority: Internal Knowledge Base</w:t>
      </w:r>
    </w:p>
    <w:p/>
    <w:p>
      <w:pPr>
        <w:pStyle w:val="Heading1"/>
      </w:pPr>
      <w:r>
        <w:t xml:space="preserve">1. Purpose</w:t>
      </w:r>
    </w:p>
    <w:p>
      <w:r>
        <w:t xml:space="preserve">Establishes the mandatory identity verification standards for new connections and periodic re-verification, in line with applicable telecom licensing and regulatory requirements.</w:t>
      </w:r>
    </w:p>
    <w:p>
      <w:pPr>
        <w:pStyle w:val="Heading1"/>
      </w:pPr>
      <w:r>
        <w:t xml:space="preserve">2. Accepted Documents</w:t>
      </w:r>
    </w:p>
    <w:p>
      <w:pPr>
        <w:pStyle w:val="ListParagraph"/>
        <w:numPr>
          <w:ilvl w:val="0"/>
          <w:numId w:val="1"/>
        </w:numPr>
      </w:pPr>
      <w:r>
        <w:t xml:space="preserve">Aadhaar (with explicit consent for e-KYC)</w:t>
      </w:r>
    </w:p>
    <w:p>
      <w:pPr>
        <w:pStyle w:val="ListParagraph"/>
        <w:numPr>
          <w:ilvl w:val="0"/>
          <w:numId w:val="1"/>
        </w:numPr>
      </w:pPr>
      <w:r>
        <w:t xml:space="preserve">Passport</w:t>
      </w:r>
    </w:p>
    <w:p>
      <w:pPr>
        <w:pStyle w:val="ListParagraph"/>
        <w:numPr>
          <w:ilvl w:val="0"/>
          <w:numId w:val="1"/>
        </w:numPr>
      </w:pPr>
      <w:r>
        <w:t xml:space="preserve">Voter ID</w:t>
      </w:r>
    </w:p>
    <w:p>
      <w:pPr>
        <w:pStyle w:val="ListParagraph"/>
        <w:numPr>
          <w:ilvl w:val="0"/>
          <w:numId w:val="1"/>
        </w:numPr>
      </w:pPr>
      <w:r>
        <w:t xml:space="preserve">Driving Licence</w:t>
      </w:r>
    </w:p>
    <w:p>
      <w:pPr>
        <w:pStyle w:val="Heading1"/>
      </w:pPr>
      <w:r>
        <w:t xml:space="preserve">3. Policy Statements</w:t>
      </w:r>
    </w:p>
    <w:p>
      <w:pPr>
        <w:pStyle w:val="ListParagraph"/>
        <w:numPr>
          <w:ilvl w:val="0"/>
          <w:numId w:val="1"/>
        </w:numPr>
      </w:pPr>
      <w:r>
        <w:t xml:space="preserve">No connection may be activated without completed KYC verification.</w:t>
      </w:r>
    </w:p>
    <w:p>
      <w:pPr>
        <w:pStyle w:val="ListParagraph"/>
        <w:numPr>
          <w:ilvl w:val="0"/>
          <w:numId w:val="1"/>
        </w:numPr>
      </w:pPr>
      <w:r>
        <w:t xml:space="preserve">Periodic re-verification may be mandated by regulatory directive; non-completion within the notified window results in service suspension.</w:t>
      </w:r>
    </w:p>
    <w:p>
      <w:pPr>
        <w:pStyle w:val="ListParagraph"/>
        <w:numPr>
          <w:ilvl w:val="0"/>
          <w:numId w:val="1"/>
        </w:numPr>
      </w:pPr>
      <w:r>
        <w:t xml:space="preserve">KYC records are retained per the statutory minimum retention period even after account closure.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2026-08-09T12:01:05.358Z</dcterms:created>
  <dcterms:modified xsi:type="dcterms:W3CDTF">2026-08-09T12:01:05.358Z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