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Data Privacy Policy</w:t>
      </w:r>
    </w:p>
    <w:p/>
    <w:p>
      <w:r>
        <w:rPr>
          <w:b/>
          <w:bCs/>
        </w:rPr>
        <w:t xml:space="preserve">Document ID: Policy_C19_privacy_policy</w:t>
      </w:r>
    </w:p>
    <w:p>
      <w:r>
        <w:t xml:space="preserve">Category: C19 — Privacy &amp; Data Protection</w:t>
      </w:r>
    </w:p>
    <w:p>
      <w:r>
        <w:t xml:space="preserve">Department: Legal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1. Purpose</w:t>
      </w:r>
    </w:p>
    <w:p>
      <w:r>
        <w:t xml:space="preserve">Describes how NovaTel collects, uses, retains, and protects customer personal data, and the rights available to customers.</w:t>
      </w:r>
    </w:p>
    <w:p>
      <w:pPr>
        <w:pStyle w:val="Heading1"/>
      </w:pPr>
      <w:r>
        <w:t xml:space="preserve">2. Data We Collect</w:t>
      </w:r>
    </w:p>
    <w:p>
      <w:pPr>
        <w:pStyle w:val="ListParagraph"/>
        <w:numPr>
          <w:ilvl w:val="0"/>
          <w:numId w:val="1"/>
        </w:numPr>
      </w:pPr>
      <w:r>
        <w:t xml:space="preserve">KYC identity and address data</w:t>
      </w:r>
    </w:p>
    <w:p>
      <w:pPr>
        <w:pStyle w:val="ListParagraph"/>
        <w:numPr>
          <w:ilvl w:val="0"/>
          <w:numId w:val="1"/>
        </w:numPr>
      </w:pPr>
      <w:r>
        <w:t xml:space="preserve">Call Detail Records (CDRs) and data-usage records</w:t>
      </w:r>
    </w:p>
    <w:p>
      <w:pPr>
        <w:pStyle w:val="ListParagraph"/>
        <w:numPr>
          <w:ilvl w:val="0"/>
          <w:numId w:val="1"/>
        </w:numPr>
      </w:pPr>
      <w:r>
        <w:t xml:space="preserve">Billing and payment data</w:t>
      </w:r>
    </w:p>
    <w:p>
      <w:pPr>
        <w:pStyle w:val="ListParagraph"/>
        <w:numPr>
          <w:ilvl w:val="0"/>
          <w:numId w:val="1"/>
        </w:numPr>
      </w:pPr>
      <w:r>
        <w:t xml:space="preserve">Location data derived from network signalling (for service and regulatory purposes)</w:t>
      </w:r>
    </w:p>
    <w:p>
      <w:pPr>
        <w:pStyle w:val="Heading1"/>
      </w:pPr>
      <w:r>
        <w:t xml:space="preserve">3. Use of Data</w:t>
      </w:r>
    </w:p>
    <w:p>
      <w:r>
        <w:t xml:space="preserve">Data is used for service delivery, billing, fraud prevention, network optimisation, legal/regulatory compliance, and — where consented — personalised marketing.</w:t>
      </w:r>
    </w:p>
    <w:p>
      <w:pPr>
        <w:pStyle w:val="Heading1"/>
      </w:pPr>
      <w:r>
        <w:t xml:space="preserve">4. Retention</w:t>
      </w:r>
    </w:p>
    <w:p>
      <w:r>
        <w:t xml:space="preserve">CDRs and KYC records are retained for the statutory minimum period mandated by licence conditions, even after account closure or a data-deletion request.</w:t>
      </w:r>
    </w:p>
    <w:p>
      <w:pPr>
        <w:pStyle w:val="Heading1"/>
      </w:pPr>
      <w:r>
        <w:t xml:space="preserve">5. Customer Rights</w:t>
      </w:r>
    </w:p>
    <w:p>
      <w:r>
        <w:t xml:space="preserve">Customers may request access to, correction of, or deletion of their personal data (subject to statutory retention exceptions) via Privacy Settings in the app.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2026-08-09T12:01:05.417Z</dcterms:created>
  <dcterms:modified xsi:type="dcterms:W3CDTF">2026-08-09T12:01:05.417Z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