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Enterprise &amp; Business Connectivity Commercial Policy</w:t>
      </w:r>
    </w:p>
    <w:p/>
    <w:p>
      <w:r>
        <w:rPr>
          <w:b/>
          <w:bCs/>
        </w:rPr>
        <w:t xml:space="preserve">Document ID: Policy_C23_enterprise_terms</w:t>
      </w:r>
    </w:p>
    <w:p>
      <w:r>
        <w:t xml:space="preserve">Category: C23 — Enterprise &amp; Business Services</w:t>
      </w:r>
    </w:p>
    <w:p>
      <w:r>
        <w:t xml:space="preserve">Department: Enterprise Sales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1. Purpose</w:t>
      </w:r>
    </w:p>
    <w:p>
      <w:r>
        <w:t xml:space="preserve">Sets the general commercial and service framework for enterprise and business customers, superseded in specifics by individually signed agreements.</w:t>
      </w:r>
    </w:p>
    <w:p>
      <w:pPr>
        <w:pStyle w:val="Heading1"/>
      </w:pPr>
      <w:r>
        <w:t xml:space="preserve">2. Policy Statements</w:t>
      </w:r>
    </w:p>
    <w:p>
      <w:pPr>
        <w:pStyle w:val="ListParagraph"/>
        <w:numPr>
          <w:ilvl w:val="0"/>
          <w:numId w:val="1"/>
        </w:numPr>
      </w:pPr>
      <w:r>
        <w:t xml:space="preserve">Enterprise pricing is volume-tiered and subject to a minimum committed line count.</w:t>
      </w:r>
    </w:p>
    <w:p>
      <w:pPr>
        <w:pStyle w:val="ListParagraph"/>
        <w:numPr>
          <w:ilvl w:val="0"/>
          <w:numId w:val="1"/>
        </w:numPr>
      </w:pPr>
      <w:r>
        <w:t xml:space="preserve">Each enterprise account is assigned a dedicated Account Manager and centralised billing.</w:t>
      </w:r>
    </w:p>
    <w:p>
      <w:pPr>
        <w:pStyle w:val="ListParagraph"/>
        <w:numPr>
          <w:ilvl w:val="0"/>
          <w:numId w:val="1"/>
        </w:numPr>
      </w:pPr>
      <w:r>
        <w:t xml:space="preserve">Service Level Agreements (SLAs) for connectivity uptime and fault-resolution time are defined per contract, typically stricter than standard consumer SLAs.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2026-08-09T12:01:06.447Z</dcterms:created>
  <dcterms:modified xsi:type="dcterms:W3CDTF">2026-08-09T12:01:06.447Z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