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RCA: Mumbai West 4G Cluster Outage (INC-2026-0142)</w:t>
      </w:r>
    </w:p>
    <w:p/>
    <w:p>
      <w:r>
        <w:rPr>
          <w:b/>
          <w:bCs/>
        </w:rPr>
        <w:t xml:space="preserve">Document ID: RCA_INC_2026_0142</w:t>
      </w:r>
    </w:p>
    <w:p>
      <w:r>
        <w:t xml:space="preserve">Category: C08 — Network Coverage &amp; Outages</w:t>
      </w:r>
    </w:p>
    <w:p>
      <w:r>
        <w:t xml:space="preserve">Department: Network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Incident Reference</w:t>
      </w:r>
    </w:p>
    <w:p>
      <w:r>
        <w:t xml:space="preserve">INC-2026-0142</w:t>
      </w:r>
    </w:p>
    <w:p>
      <w:pPr>
        <w:pStyle w:val="Heading1"/>
      </w:pPr>
      <w:r>
        <w:t xml:space="preserve">Problem Statement</w:t>
      </w:r>
    </w:p>
    <w:p>
      <w:r>
        <w:t xml:space="preserve">A ~3-hour 4G outage affected approximately 40 sites in Mumbai West circle.</w:t>
      </w:r>
    </w:p>
    <w:p>
      <w:pPr>
        <w:pStyle w:val="Heading1"/>
      </w:pPr>
      <w:r>
        <w:t xml:space="preserve">Root Cause</w:t>
      </w:r>
    </w:p>
    <w:p>
      <w:r>
        <w:t xml:space="preserve">Third-party road excavation work severed the primary fibre backhaul without prior utility-clearance coordination with NovaTel's infrastructure team.</w:t>
      </w:r>
    </w:p>
    <w:p>
      <w:pPr>
        <w:pStyle w:val="Heading1"/>
      </w:pPr>
      <w:r>
        <w:t xml:space="preserve">Contributing Factors</w:t>
      </w:r>
    </w:p>
    <w:p>
      <w:pPr>
        <w:pStyle w:val="ListParagraph"/>
        <w:numPr>
          <w:ilvl w:val="0"/>
          <w:numId w:val="1"/>
        </w:numPr>
      </w:pPr>
      <w:r>
        <w:t xml:space="preserve">No automatic failover to microwave backhaul was configured for this cluster.</w:t>
      </w:r>
    </w:p>
    <w:p>
      <w:pPr>
        <w:pStyle w:val="ListParagraph"/>
        <w:numPr>
          <w:ilvl w:val="0"/>
          <w:numId w:val="1"/>
        </w:numPr>
      </w:pPr>
      <w:r>
        <w:t xml:space="preserve">Utility-excavation notification process with local municipal bodies had a gap for this corridor.</w:t>
      </w:r>
    </w:p>
    <w:p>
      <w:pPr>
        <w:pStyle w:val="Heading1"/>
      </w:pPr>
      <w:r>
        <w:t xml:space="preserve">Corrective Actions</w:t>
      </w:r>
    </w:p>
    <w:p>
      <w:pPr>
        <w:pStyle w:val="ListParagraph"/>
        <w:numPr>
          <w:ilvl w:val="0"/>
          <w:numId w:val="2"/>
        </w:numPr>
      </w:pPr>
      <w:r>
        <w:t xml:space="preserve">Configure automatic microwave backhaul failover for all clusters currently on single fibre path (target: 60 days).</w:t>
      </w:r>
    </w:p>
    <w:p>
      <w:pPr>
        <w:pStyle w:val="ListParagraph"/>
        <w:numPr>
          <w:ilvl w:val="0"/>
          <w:numId w:val="2"/>
        </w:numPr>
      </w:pPr>
      <w:r>
        <w:t xml:space="preserve">Establish a proactive excavation-notification liaison with municipal authorities for high-risk corridors (target: 90 days).</w:t>
      </w:r>
    </w:p>
    <w:p>
      <w:pPr>
        <w:pStyle w:val="ListParagraph"/>
        <w:numPr>
          <w:ilvl w:val="0"/>
          <w:numId w:val="2"/>
        </w:numPr>
      </w:pPr>
      <w:r>
        <w:t xml:space="preserve">Add this fibre route to the priority physical-protection (route diversity) programme.</w:t>
      </w:r>
    </w:p>
    <w:p>
      <w:pPr>
        <w:pStyle w:val="Heading1"/>
      </w:pPr>
      <w:r>
        <w:t xml:space="preserve">Status</w:t>
      </w:r>
    </w:p>
    <w:p>
      <w:r>
        <w:t xml:space="preserve">Actions 1 and 2 in progress; owner: Network Infrastructure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2026-08-09T12:01:06.723Z</dcterms:created>
  <dcterms:modified xsi:type="dcterms:W3CDTF">2026-08-09T12:01:06.723Z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