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RCA: Phishing SMS Campaign Impersonating NovaTel (INC-2026-0197)</w:t>
      </w:r>
    </w:p>
    <w:p/>
    <w:p>
      <w:r>
        <w:rPr>
          <w:b/>
          <w:bCs/>
        </w:rPr>
        <w:t xml:space="preserve">Document ID: RCA_INC_2026_0197</w:t>
      </w:r>
    </w:p>
    <w:p>
      <w:r>
        <w:t xml:space="preserve">Category: C18 — Security &amp; Fraud</w:t>
      </w:r>
    </w:p>
    <w:p>
      <w:r>
        <w:t xml:space="preserve">Department: Security</w:t>
      </w:r>
    </w:p>
    <w:p>
      <w:r>
        <w:t xml:space="preserve">Customer Scope: all</w:t>
      </w:r>
    </w:p>
    <w:p>
      <w:r>
        <w:t xml:space="preserve">Version: 1.0    Last Updated: 2026-08-08    Source Authority: Internal Knowledge Base</w:t>
      </w:r>
    </w:p>
    <w:p/>
    <w:p>
      <w:pPr>
        <w:pStyle w:val="Heading1"/>
      </w:pPr>
      <w:r>
        <w:t xml:space="preserve">Incident Reference</w:t>
      </w:r>
    </w:p>
    <w:p>
      <w:r>
        <w:t xml:space="preserve">INC-2026-0197</w:t>
      </w:r>
    </w:p>
    <w:p>
      <w:pPr>
        <w:pStyle w:val="Heading1"/>
      </w:pPr>
      <w:r>
        <w:t xml:space="preserve">Problem Statement</w:t>
      </w:r>
    </w:p>
    <w:p>
      <w:r>
        <w:t xml:space="preserve">A third-party phishing campaign impersonated NovaTel billing alerts via SMS, directing customers to a malicious link.</w:t>
      </w:r>
    </w:p>
    <w:p>
      <w:pPr>
        <w:pStyle w:val="Heading1"/>
      </w:pPr>
      <w:r>
        <w:t xml:space="preserve">Root Cause</w:t>
      </w:r>
    </w:p>
    <w:p>
      <w:r>
        <w:t xml:space="preserve">External bad actors spoofed NovaTel's SMS sender ID format; this is an external attack rather than an internal system failure, but response coordination had gaps.</w:t>
      </w:r>
    </w:p>
    <w:p>
      <w:pPr>
        <w:pStyle w:val="Heading1"/>
      </w:pPr>
      <w:r>
        <w:t xml:space="preserve">Contributing Factors</w:t>
      </w:r>
    </w:p>
    <w:p>
      <w:pPr>
        <w:pStyle w:val="ListParagraph"/>
        <w:numPr>
          <w:ilvl w:val="0"/>
          <w:numId w:val="1"/>
        </w:numPr>
      </w:pPr>
      <w:r>
        <w:t xml:space="preserve">Delay of several hours between first customer reports and the broadcast anti-fraud alert.</w:t>
      </w:r>
    </w:p>
    <w:p>
      <w:pPr>
        <w:pStyle w:val="ListParagraph"/>
        <w:numPr>
          <w:ilvl w:val="0"/>
          <w:numId w:val="1"/>
        </w:numPr>
      </w:pPr>
      <w:r>
        <w:t xml:space="preserve">No pre-existing rapid-takedown relationship with the specific hosting provider used for the phishing domain.</w:t>
      </w:r>
    </w:p>
    <w:p>
      <w:pPr>
        <w:pStyle w:val="Heading1"/>
      </w:pPr>
      <w:r>
        <w:t xml:space="preserve">Corrective Actions</w:t>
      </w:r>
    </w:p>
    <w:p>
      <w:pPr>
        <w:pStyle w:val="ListParagraph"/>
        <w:numPr>
          <w:ilvl w:val="0"/>
          <w:numId w:val="2"/>
        </w:numPr>
      </w:pPr>
      <w:r>
        <w:t xml:space="preserve">Reduce the customer-report-to-broadcast-alert threshold via an automated spike-detection rule on fraud-report volume (target: 30 days).</w:t>
      </w:r>
    </w:p>
    <w:p>
      <w:pPr>
        <w:pStyle w:val="ListParagraph"/>
        <w:numPr>
          <w:ilvl w:val="0"/>
          <w:numId w:val="2"/>
        </w:numPr>
      </w:pPr>
      <w:r>
        <w:t xml:space="preserve">Establish standing takedown-request relationships with major hosting providers via the industry CERT-In liaison channel.</w:t>
      </w:r>
    </w:p>
    <w:p>
      <w:pPr>
        <w:pStyle w:val="Heading1"/>
      </w:pPr>
      <w:r>
        <w:t xml:space="preserve">Status</w:t>
      </w:r>
    </w:p>
    <w:p>
      <w:r>
        <w:t xml:space="preserve">Action 1 completed; Action 2 in progress; owner: Security team.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2026-08-09T12:01:07.310Z</dcterms:created>
  <dcterms:modified xsi:type="dcterms:W3CDTF">2026-08-09T12:01:07.310Z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