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Handling Unauthorised VAS Subscription Complaints</w:t>
      </w:r>
    </w:p>
    <w:p/>
    <w:p>
      <w:r>
        <w:rPr>
          <w:b/>
          <w:bCs/>
        </w:rPr>
        <w:t xml:space="preserve">Document ID: SOP_C10_VAS_DISPUTE</w:t>
      </w:r>
    </w:p>
    <w:p>
      <w:r>
        <w:t xml:space="preserve">Category: C10 — Value Added Services (VAS)</w:t>
      </w:r>
    </w:p>
    <w:p>
      <w:r>
        <w:t xml:space="preserve">Department: Product</w:t>
      </w:r>
    </w:p>
    <w:p>
      <w:r>
        <w:t xml:space="preserve">Customer Scope: all</w:t>
      </w:r>
    </w:p>
    <w:p>
      <w:r>
        <w:t xml:space="preserve">Version: 1.0    Last Updated: 2026-08-08    Source Authority: Internal Knowledge Base</w:t>
      </w:r>
    </w:p>
    <w:p/>
    <w:p>
      <w:pPr>
        <w:pStyle w:val="Heading1"/>
      </w:pPr>
      <w:r>
        <w:t xml:space="preserve">Purpose</w:t>
      </w:r>
    </w:p>
    <w:p>
      <w:r>
        <w:t xml:space="preserve">To ensure unauthorised Value Added Service (VAS) charges are investigated and refunded consistently, per consent-based subscription regulations.</w:t>
      </w:r>
    </w:p>
    <w:p>
      <w:pPr>
        <w:pStyle w:val="Heading1"/>
      </w:pPr>
      <w:r>
        <w:t xml:space="preserve">Procedure</w:t>
      </w:r>
    </w:p>
    <w:p>
      <w:pPr>
        <w:pStyle w:val="ListParagraph"/>
        <w:numPr>
          <w:ilvl w:val="0"/>
          <w:numId w:val="2"/>
        </w:numPr>
      </w:pPr>
      <w:r>
        <w:t xml:space="preserve">Pull the VAS activation log for the disputed service, including channel (SMS/USSD/WAP click/app) and timestamp.</w:t>
      </w:r>
    </w:p>
    <w:p>
      <w:pPr>
        <w:pStyle w:val="ListParagraph"/>
        <w:numPr>
          <w:ilvl w:val="0"/>
          <w:numId w:val="2"/>
        </w:numPr>
      </w:pPr>
      <w:r>
        <w:t xml:space="preserve">If consent cannot be clearly evidenced, approve a full refund of charges for the disputed service.</w:t>
      </w:r>
    </w:p>
    <w:p>
      <w:pPr>
        <w:pStyle w:val="ListParagraph"/>
        <w:numPr>
          <w:ilvl w:val="0"/>
          <w:numId w:val="2"/>
        </w:numPr>
      </w:pPr>
      <w:r>
        <w:t xml:space="preserve">Deactivate the VAS immediately regardless of the consent outcome, if the customer requests deactivation.</w:t>
      </w:r>
    </w:p>
    <w:p>
      <w:pPr>
        <w:pStyle w:val="ListParagraph"/>
        <w:numPr>
          <w:ilvl w:val="0"/>
          <w:numId w:val="2"/>
        </w:numPr>
      </w:pPr>
      <w:r>
        <w:t xml:space="preserve">Log the activation channel for pattern analysis — repeated unconsented activations from a single VAS partner are escalated to Legal/Compliance.</w:t>
      </w:r>
    </w:p>
    <w:p>
      <w:pPr>
        <w:pStyle w:val="Heading1"/>
      </w:pPr>
      <w:r>
        <w:t xml:space="preserve">Related Documents</w:t>
      </w:r>
    </w:p>
    <w:p>
      <w:r>
        <w:t xml:space="preserve">FAQ_C10_001, TRN_001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2026-08-09T12:01:04.313Z</dcterms:created>
  <dcterms:modified xsi:type="dcterms:W3CDTF">2026-08-09T12:01:04.314Z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