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Duplicate Charge and Billing Refund Processing</w:t>
      </w:r>
    </w:p>
    <w:p/>
    <w:p>
      <w:r>
        <w:rPr>
          <w:b/>
          <w:bCs/>
        </w:rPr>
        <w:t xml:space="preserve">Document ID: SOP_C20_REFUND_PROCESSING</w:t>
      </w:r>
    </w:p>
    <w:p>
      <w:r>
        <w:t xml:space="preserve">Category: C20 — Refunds &amp; Adjustments</w:t>
      </w:r>
    </w:p>
    <w:p>
      <w:r>
        <w:t xml:space="preserve">Department: Billing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standardise validation and issuance of refunds for duplicate or erroneous charges.</w:t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Validate the disputed transaction(s) against the payment gateway ledger.</w:t>
      </w:r>
    </w:p>
    <w:p>
      <w:pPr>
        <w:pStyle w:val="ListParagraph"/>
        <w:numPr>
          <w:ilvl w:val="0"/>
          <w:numId w:val="2"/>
        </w:numPr>
      </w:pPr>
      <w:r>
        <w:t xml:space="preserve">Approve refund if duplication or billing error is confirmed.</w:t>
      </w:r>
    </w:p>
    <w:p>
      <w:pPr>
        <w:pStyle w:val="ListParagraph"/>
        <w:numPr>
          <w:ilvl w:val="0"/>
          <w:numId w:val="2"/>
        </w:numPr>
      </w:pPr>
      <w:r>
        <w:t xml:space="preserve">Issue refund to source (5-7 working days) or as account credit (instant to 24 hours), per customer preference where offered.</w:t>
      </w:r>
    </w:p>
    <w:p>
      <w:pPr>
        <w:pStyle w:val="ListParagraph"/>
        <w:numPr>
          <w:ilvl w:val="0"/>
          <w:numId w:val="2"/>
        </w:numPr>
      </w:pPr>
      <w:r>
        <w:t xml:space="preserve">Record refund reason code for monthly billing-quality reporting.</w:t>
      </w:r>
    </w:p>
    <w:p>
      <w:pPr>
        <w:pStyle w:val="Heading1"/>
      </w:pPr>
      <w:r>
        <w:t xml:space="preserve">Related Documents</w:t>
      </w:r>
    </w:p>
    <w:p>
      <w:r>
        <w:t xml:space="preserve">KB_C20_refund_processing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2026-08-09T12:01:05.060Z</dcterms:created>
  <dcterms:modified xsi:type="dcterms:W3CDTF">2026-08-09T12:01:05.060Z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