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00"/>
      </w:pPr>
      <w:r>
        <w:rPr>
          <w:rFonts w:ascii="Calibri" w:hAnsi="Calibri"/>
          <w:b/>
          <w:color w:val="B78316"/>
          <w:sz w:val="20"/>
        </w:rPr>
        <w:t>AI/ML ENGINEER PORTFOLIO</w:t>
      </w:r>
    </w:p>
    <w:p>
      <w:pPr>
        <w:pStyle w:val="Title"/>
      </w:pPr>
      <w:r>
        <w:rPr>
          <w:rFonts w:ascii="Calibri" w:hAnsi="Calibri"/>
          <w:b/>
          <w:color w:val="0B2545"/>
          <w:sz w:val="58"/>
        </w:rPr>
        <w:t>Credit Risk Decision Engine</w:t>
      </w:r>
    </w:p>
    <w:p>
      <w:pPr>
        <w:pStyle w:val="Subtitle"/>
      </w:pPr>
      <w:r>
        <w:rPr>
          <w:rFonts w:ascii="Calibri" w:hAnsi="Calibri"/>
          <w:color w:val="1F4D78"/>
          <w:sz w:val="30"/>
        </w:rPr>
        <w:t>Project Interview Preparation Playbook</w:t>
      </w:r>
    </w:p>
    <w:p>
      <w:pPr>
        <w:spacing w:before="100" w:after="160" w:line="276" w:lineRule="auto"/>
        <w:ind w:left="173" w:right="115"/>
        <w:pBdr>
          <w:left w:val="single" w:sz="18" w:space="8" w:color="2E74B5"/>
        </w:pBdr>
        <w:shd w:fill="EDF4FB"/>
      </w:pPr>
      <w:r>
        <w:rPr>
          <w:rFonts w:ascii="Calibri" w:hAnsi="Calibri"/>
          <w:b/>
          <w:color w:val="2E74B5"/>
        </w:rPr>
        <w:t xml:space="preserve">Core positioning: </w:t>
      </w:r>
      <w:r>
        <w:rPr>
          <w:rFonts w:ascii="Calibri" w:hAnsi="Calibri"/>
          <w:color w:val="111827"/>
        </w:rPr>
        <w:t>A hybrid loan simulator that keeps affordability policy transparent and deterministic while using a separately calibrated ML model as a historical repayment-stress lens.</w:t>
      </w:r>
    </w:p>
    <w:tbl>
      <w:tblPr>
        <w:tblW w:type="dxa" w:w="9360"/>
        <w:jc w:val="left"/>
        <w:tblLayout w:type="fixed"/>
        <w:tblLook w:firstColumn="1" w:firstRow="1" w:lastColumn="0" w:lastRow="0" w:noHBand="0" w:noVBand="1" w:val="04A0"/>
        <w:tblInd w:w="120" w:type="dxa"/>
      </w:tblPr>
      <w:tblGrid>
        <w:gridCol w:w="2340"/>
        <w:gridCol w:w="2340"/>
        <w:gridCol w:w="2340"/>
        <w:gridCol w:w="2340"/>
      </w:tblGrid>
      <w:tr>
        <w:trPr>
          <w:cantSplit/>
          <w:tblHeader w:val="true"/>
        </w:trPr>
        <w:tc>
          <w:tcPr>
            <w:tcW w:type="dxa" w:w="2340"/>
            <w:shd w:fill="0B2545"/>
            <w:tcMar>
              <w:top w:w="80" w:type="dxa"/>
              <w:start w:w="120" w:type="dxa"/>
              <w:bottom w:w="80" w:type="dxa"/>
              <w:end w:w="120" w:type="dxa"/>
            </w:tcMar>
          </w:tcPr>
          <w:p>
            <w:pPr>
              <w:spacing w:after="20"/>
              <w:jc w:val="center"/>
            </w:pPr>
            <w:r>
              <w:rPr>
                <w:rFonts w:ascii="Calibri" w:hAnsi="Calibri"/>
                <w:b/>
                <w:color w:val="FFFFFF"/>
                <w:sz w:val="30"/>
              </w:rPr>
              <w:t>307,511</w:t>
            </w:r>
          </w:p>
        </w:tc>
        <w:tc>
          <w:tcPr>
            <w:tcW w:type="dxa" w:w="2340"/>
            <w:shd w:fill="0B2545"/>
            <w:tcMar>
              <w:top w:w="80" w:type="dxa"/>
              <w:start w:w="120" w:type="dxa"/>
              <w:bottom w:w="80" w:type="dxa"/>
              <w:end w:w="120" w:type="dxa"/>
            </w:tcMar>
          </w:tcPr>
          <w:p>
            <w:pPr>
              <w:spacing w:after="20"/>
              <w:jc w:val="center"/>
            </w:pPr>
            <w:r>
              <w:rPr>
                <w:rFonts w:ascii="Calibri" w:hAnsi="Calibri"/>
                <w:b/>
                <w:color w:val="FFFFFF"/>
                <w:sz w:val="30"/>
              </w:rPr>
              <w:t>196,806</w:t>
            </w:r>
          </w:p>
        </w:tc>
        <w:tc>
          <w:tcPr>
            <w:tcW w:type="dxa" w:w="2340"/>
            <w:shd w:fill="0B2545"/>
            <w:tcMar>
              <w:top w:w="80" w:type="dxa"/>
              <w:start w:w="120" w:type="dxa"/>
              <w:bottom w:w="80" w:type="dxa"/>
              <w:end w:w="120" w:type="dxa"/>
            </w:tcMar>
          </w:tcPr>
          <w:p>
            <w:pPr>
              <w:spacing w:after="20"/>
              <w:jc w:val="center"/>
            </w:pPr>
            <w:r>
              <w:rPr>
                <w:rFonts w:ascii="Calibri" w:hAnsi="Calibri"/>
                <w:b/>
                <w:color w:val="FFFFFF"/>
                <w:sz w:val="30"/>
              </w:rPr>
              <w:t>49,202</w:t>
            </w:r>
          </w:p>
        </w:tc>
        <w:tc>
          <w:tcPr>
            <w:tcW w:type="dxa" w:w="2340"/>
            <w:shd w:fill="0B2545"/>
            <w:tcMar>
              <w:top w:w="80" w:type="dxa"/>
              <w:start w:w="120" w:type="dxa"/>
              <w:bottom w:w="80" w:type="dxa"/>
              <w:end w:w="120" w:type="dxa"/>
            </w:tcMar>
          </w:tcPr>
          <w:p>
            <w:pPr>
              <w:spacing w:after="20"/>
              <w:jc w:val="center"/>
            </w:pPr>
            <w:r>
              <w:rPr>
                <w:rFonts w:ascii="Calibri" w:hAnsi="Calibri"/>
                <w:b/>
                <w:color w:val="FFFFFF"/>
                <w:sz w:val="30"/>
              </w:rPr>
              <w:t>61,503</w:t>
            </w:r>
          </w:p>
        </w:tc>
      </w:tr>
      <w:tr>
        <w:trPr>
          <w:cantSplit/>
        </w:trPr>
        <w:tc>
          <w:tcPr>
            <w:tcW w:type="dxa" w:w="2340"/>
            <w:shd w:fill="E8EEF5"/>
            <w:tcMar>
              <w:top w:w="80" w:type="dxa"/>
              <w:start w:w="120" w:type="dxa"/>
              <w:bottom w:w="80" w:type="dxa"/>
              <w:end w:w="120" w:type="dxa"/>
            </w:tcMar>
          </w:tcPr>
          <w:p>
            <w:pPr>
              <w:spacing w:after="0"/>
              <w:jc w:val="center"/>
            </w:pPr>
            <w:r>
              <w:rPr>
                <w:rFonts w:ascii="Calibri" w:hAnsi="Calibri"/>
                <w:b/>
                <w:color w:val="0B2545"/>
                <w:sz w:val="17"/>
              </w:rPr>
              <w:t>source rows</w:t>
            </w:r>
          </w:p>
        </w:tc>
        <w:tc>
          <w:tcPr>
            <w:tcW w:type="dxa" w:w="2340"/>
            <w:shd w:fill="E8EEF5"/>
            <w:tcMar>
              <w:top w:w="80" w:type="dxa"/>
              <w:start w:w="120" w:type="dxa"/>
              <w:bottom w:w="80" w:type="dxa"/>
              <w:end w:w="120" w:type="dxa"/>
            </w:tcMar>
          </w:tcPr>
          <w:p>
            <w:pPr>
              <w:spacing w:after="0"/>
              <w:jc w:val="center"/>
            </w:pPr>
            <w:r>
              <w:rPr>
                <w:rFonts w:ascii="Calibri" w:hAnsi="Calibri"/>
                <w:b/>
                <w:color w:val="0B2545"/>
                <w:sz w:val="17"/>
              </w:rPr>
              <w:t>model-training rows</w:t>
            </w:r>
          </w:p>
        </w:tc>
        <w:tc>
          <w:tcPr>
            <w:tcW w:type="dxa" w:w="2340"/>
            <w:shd w:fill="E8EEF5"/>
            <w:tcMar>
              <w:top w:w="80" w:type="dxa"/>
              <w:start w:w="120" w:type="dxa"/>
              <w:bottom w:w="80" w:type="dxa"/>
              <w:end w:w="120" w:type="dxa"/>
            </w:tcMar>
          </w:tcPr>
          <w:p>
            <w:pPr>
              <w:spacing w:after="0"/>
              <w:jc w:val="center"/>
            </w:pPr>
            <w:r>
              <w:rPr>
                <w:rFonts w:ascii="Calibri" w:hAnsi="Calibri"/>
                <w:b/>
                <w:color w:val="0B2545"/>
                <w:sz w:val="17"/>
              </w:rPr>
              <w:t>calibration rows</w:t>
            </w:r>
          </w:p>
        </w:tc>
        <w:tc>
          <w:tcPr>
            <w:tcW w:type="dxa" w:w="2340"/>
            <w:shd w:fill="E8EEF5"/>
            <w:tcMar>
              <w:top w:w="80" w:type="dxa"/>
              <w:start w:w="120" w:type="dxa"/>
              <w:bottom w:w="80" w:type="dxa"/>
              <w:end w:w="120" w:type="dxa"/>
            </w:tcMar>
          </w:tcPr>
          <w:p>
            <w:pPr>
              <w:spacing w:after="0"/>
              <w:jc w:val="center"/>
            </w:pPr>
            <w:r>
              <w:rPr>
                <w:rFonts w:ascii="Calibri" w:hAnsi="Calibri"/>
                <w:b/>
                <w:color w:val="0B2545"/>
                <w:sz w:val="17"/>
              </w:rPr>
              <w:t>final-test rows</w:t>
            </w:r>
          </w:p>
        </w:tc>
      </w:tr>
    </w:tbl>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blHeader w:val="true"/>
        </w:trPr>
        <w:tc>
          <w:tcPr>
            <w:tcW w:type="dxa" w:w="2700"/>
            <w:shd w:fill="E8EEF5"/>
            <w:vAlign w:val="center"/>
            <w:tcMar>
              <w:top w:w="80" w:type="dxa"/>
              <w:start w:w="120" w:type="dxa"/>
              <w:bottom w:w="80" w:type="dxa"/>
              <w:end w:w="120" w:type="dxa"/>
            </w:tcMar>
          </w:tcPr>
          <w:p>
            <w:pPr>
              <w:spacing w:after="0"/>
            </w:pPr>
            <w:r>
              <w:rPr>
                <w:rFonts w:ascii="Calibri" w:hAnsi="Calibri"/>
                <w:b/>
                <w:color w:val="0B2545"/>
              </w:rPr>
              <w:t>Live ML</w:t>
            </w:r>
          </w:p>
        </w:tc>
        <w:tc>
          <w:tcPr>
            <w:tcW w:type="dxa" w:w="6660"/>
            <w:tcMar>
              <w:top w:w="80" w:type="dxa"/>
              <w:start w:w="120" w:type="dxa"/>
              <w:bottom w:w="80" w:type="dxa"/>
              <w:end w:w="120" w:type="dxa"/>
            </w:tcMar>
          </w:tcPr>
          <w:p>
            <w:pPr>
              <w:spacing w:after="0"/>
            </w:pPr>
            <w:r>
              <w:rPr>
                <w:rFonts w:ascii="Calibri" w:hAnsi="Calibri"/>
                <w:color w:val="111827"/>
              </w:rPr>
              <w:t>XGBoost with sigmoid probability calibration</w:t>
            </w:r>
          </w:p>
        </w:tc>
      </w:tr>
      <w:tr>
        <w:trPr>
          <w:cantSplit/>
        </w:trPr>
        <w:tc>
          <w:tcPr>
            <w:tcW w:type="dxa" w:w="2700"/>
            <w:shd w:fill="E8EEF5"/>
            <w:vAlign w:val="center"/>
            <w:tcMar>
              <w:top w:w="80" w:type="dxa"/>
              <w:start w:w="120" w:type="dxa"/>
              <w:bottom w:w="80" w:type="dxa"/>
              <w:end w:w="120" w:type="dxa"/>
            </w:tcMar>
          </w:tcPr>
          <w:p>
            <w:pPr>
              <w:spacing w:after="0"/>
            </w:pPr>
            <w:r>
              <w:rPr>
                <w:rFonts w:ascii="Calibri" w:hAnsi="Calibri"/>
                <w:b/>
                <w:color w:val="0B2545"/>
              </w:rPr>
              <w:t>Final test</w:t>
            </w:r>
          </w:p>
        </w:tc>
        <w:tc>
          <w:tcPr>
            <w:tcW w:type="dxa" w:w="6660"/>
            <w:tcMar>
              <w:top w:w="80" w:type="dxa"/>
              <w:start w:w="120" w:type="dxa"/>
              <w:bottom w:w="80" w:type="dxa"/>
              <w:end w:w="120" w:type="dxa"/>
            </w:tcMar>
          </w:tcPr>
          <w:p>
            <w:pPr>
              <w:spacing w:after="0"/>
            </w:pPr>
            <w:r>
              <w:rPr>
                <w:rFonts w:ascii="Calibri" w:hAnsi="Calibri"/>
                <w:color w:val="111827"/>
              </w:rPr>
              <w:t>ROC-AUC 0.6448 | PR-AUC 0.1406 | Brier 0.07257</w:t>
            </w:r>
          </w:p>
        </w:tc>
      </w:tr>
      <w:tr>
        <w:trPr>
          <w:cantSplit/>
        </w:trPr>
        <w:tc>
          <w:tcPr>
            <w:tcW w:type="dxa" w:w="2700"/>
            <w:shd w:fill="E8EEF5"/>
            <w:vAlign w:val="center"/>
            <w:tcMar>
              <w:top w:w="80" w:type="dxa"/>
              <w:start w:w="120" w:type="dxa"/>
              <w:bottom w:w="80" w:type="dxa"/>
              <w:end w:w="120" w:type="dxa"/>
            </w:tcMar>
          </w:tcPr>
          <w:p>
            <w:pPr>
              <w:spacing w:after="0"/>
            </w:pPr>
            <w:r>
              <w:rPr>
                <w:rFonts w:ascii="Calibri" w:hAnsi="Calibri"/>
                <w:b/>
                <w:color w:val="0B2545"/>
              </w:rPr>
              <w:t>Delivery</w:t>
            </w:r>
          </w:p>
        </w:tc>
        <w:tc>
          <w:tcPr>
            <w:tcW w:type="dxa" w:w="6660"/>
            <w:tcMar>
              <w:top w:w="80" w:type="dxa"/>
              <w:start w:w="120" w:type="dxa"/>
              <w:bottom w:w="80" w:type="dxa"/>
              <w:end w:w="120" w:type="dxa"/>
            </w:tcMar>
          </w:tcPr>
          <w:p>
            <w:pPr>
              <w:spacing w:after="0"/>
            </w:pPr>
            <w:r>
              <w:rPr>
                <w:rFonts w:ascii="Calibri" w:hAnsi="Calibri"/>
                <w:color w:val="111827"/>
              </w:rPr>
              <w:t>Streamlit dashboard + FastAPI service + reusable Python components</w:t>
            </w:r>
          </w:p>
        </w:tc>
      </w:tr>
      <w:tr>
        <w:trPr>
          <w:cantSplit/>
        </w:trPr>
        <w:tc>
          <w:tcPr>
            <w:tcW w:type="dxa" w:w="2700"/>
            <w:shd w:fill="E8EEF5"/>
            <w:vAlign w:val="center"/>
            <w:tcMar>
              <w:top w:w="80" w:type="dxa"/>
              <w:start w:w="120" w:type="dxa"/>
              <w:bottom w:w="80" w:type="dxa"/>
              <w:end w:w="120" w:type="dxa"/>
            </w:tcMar>
          </w:tcPr>
          <w:p>
            <w:pPr>
              <w:spacing w:after="0"/>
            </w:pPr>
            <w:r>
              <w:rPr>
                <w:rFonts w:ascii="Calibri" w:hAnsi="Calibri"/>
                <w:b/>
                <w:color w:val="0B2545"/>
              </w:rPr>
              <w:t>Interview theme</w:t>
            </w:r>
          </w:p>
        </w:tc>
        <w:tc>
          <w:tcPr>
            <w:tcW w:type="dxa" w:w="6660"/>
            <w:tcMar>
              <w:top w:w="80" w:type="dxa"/>
              <w:start w:w="120" w:type="dxa"/>
              <w:bottom w:w="80" w:type="dxa"/>
              <w:end w:w="120" w:type="dxa"/>
            </w:tcMar>
          </w:tcPr>
          <w:p>
            <w:pPr>
              <w:spacing w:after="0"/>
            </w:pPr>
            <w:r>
              <w:rPr>
                <w:rFonts w:ascii="Calibri" w:hAnsi="Calibri"/>
                <w:color w:val="111827"/>
              </w:rPr>
              <w:t>Correct system boundaries, leakage safety, honest limitations, and production thinking</w:t>
            </w:r>
          </w:p>
        </w:tc>
      </w:tr>
    </w:tbl>
    <w:p>
      <w:pPr>
        <w:spacing w:after="0"/>
      </w:pPr>
    </w:p>
    <w:p>
      <w:r>
        <w:rPr>
          <w:rFonts w:ascii="Calibri" w:hAnsi="Calibri"/>
          <w:color w:val="111827"/>
        </w:rPr>
        <w:t>Prepared from the repository's current implementation and persisted training metadata. Metrics are project-specific, not generic placeholders.</w:t>
      </w:r>
    </w:p>
    <w:p>
      <w:r>
        <w:br w:type="page"/>
      </w:r>
    </w:p>
    <w:p>
      <w:pPr>
        <w:pStyle w:val="Heading1"/>
      </w:pPr>
      <w:r>
        <w:t>How to use this playbook</w:t>
      </w:r>
    </w:p>
    <w:p>
      <w:r>
        <w:rPr>
          <w:rFonts w:ascii="Calibri" w:hAnsi="Calibri"/>
          <w:color w:val="111827"/>
        </w:rPr>
        <w:t>Use the document in three passes. First learn the short pitch. Then master the architecture and modelling decisions. Finally rehearse the question bank aloud with the demo running.</w:t>
      </w:r>
    </w:p>
    <w:p>
      <w:pPr>
        <w:pStyle w:val="ListNumber"/>
        <w:numPr>
          <w:ilvl w:val="0"/>
          <w:numId w:val="10"/>
        </w:numPr>
      </w:pPr>
      <w:r>
        <w:rPr>
          <w:rFonts w:ascii="Calibri" w:hAnsi="Calibri"/>
          <w:color w:val="111827"/>
        </w:rPr>
        <w:t>Ten-minute pass: memorize the 60-second pitch, architecture boundary, split strategy, and three final-test metrics.</w:t>
      </w:r>
    </w:p>
    <w:p>
      <w:pPr>
        <w:pStyle w:val="ListNumber"/>
        <w:numPr>
          <w:ilvl w:val="0"/>
          <w:numId w:val="10"/>
        </w:numPr>
      </w:pPr>
      <w:r>
        <w:rPr>
          <w:rFonts w:ascii="Calibri" w:hAnsi="Calibri"/>
          <w:color w:val="111827"/>
        </w:rPr>
        <w:t>Deep pass: explain the affordability formulas, calibration design, feature contract, and why accuracy is misleading.</w:t>
      </w:r>
    </w:p>
    <w:p>
      <w:pPr>
        <w:pStyle w:val="ListNumber"/>
        <w:numPr>
          <w:ilvl w:val="0"/>
          <w:numId w:val="10"/>
        </w:numPr>
      </w:pPr>
      <w:r>
        <w:rPr>
          <w:rFonts w:ascii="Calibri" w:hAnsi="Calibri"/>
          <w:color w:val="111827"/>
        </w:rPr>
        <w:t>Rehearsal pass: run the five-minute demo and answer each question without reading the suggested response verbatim.</w:t>
      </w:r>
    </w:p>
    <w:p>
      <w:pPr>
        <w:pStyle w:val="Heading2"/>
      </w:pPr>
      <w:r>
        <w:t>Guide map</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blHeader w:val="true"/>
        </w:trPr>
        <w:tc>
          <w:tcPr>
            <w:tcW w:type="dxa" w:w="2700"/>
            <w:shd w:fill="E8EEF5"/>
            <w:vAlign w:val="center"/>
            <w:tcMar>
              <w:top w:w="80" w:type="dxa"/>
              <w:start w:w="120" w:type="dxa"/>
              <w:bottom w:w="80" w:type="dxa"/>
              <w:end w:w="120" w:type="dxa"/>
            </w:tcMar>
          </w:tcPr>
          <w:p>
            <w:pPr>
              <w:spacing w:after="0"/>
            </w:pPr>
            <w:r>
              <w:rPr>
                <w:rFonts w:ascii="Calibri" w:hAnsi="Calibri"/>
                <w:b/>
                <w:color w:val="0B2545"/>
              </w:rPr>
              <w:t>1. Story</w:t>
            </w:r>
          </w:p>
        </w:tc>
        <w:tc>
          <w:tcPr>
            <w:tcW w:type="dxa" w:w="6660"/>
            <w:tcMar>
              <w:top w:w="80" w:type="dxa"/>
              <w:start w:w="120" w:type="dxa"/>
              <w:bottom w:w="80" w:type="dxa"/>
              <w:end w:w="120" w:type="dxa"/>
            </w:tcMar>
          </w:tcPr>
          <w:p>
            <w:pPr>
              <w:spacing w:after="0"/>
            </w:pPr>
            <w:r>
              <w:rPr>
                <w:rFonts w:ascii="Calibri" w:hAnsi="Calibri"/>
                <w:color w:val="111827"/>
              </w:rPr>
              <w:t>Business problem, 60-second pitch, two-minute walkthrough</w:t>
            </w:r>
          </w:p>
        </w:tc>
      </w:tr>
      <w:tr>
        <w:trPr>
          <w:cantSplit/>
        </w:trPr>
        <w:tc>
          <w:tcPr>
            <w:tcW w:type="dxa" w:w="2700"/>
            <w:shd w:fill="E8EEF5"/>
            <w:vAlign w:val="center"/>
            <w:tcMar>
              <w:top w:w="80" w:type="dxa"/>
              <w:start w:w="120" w:type="dxa"/>
              <w:bottom w:w="80" w:type="dxa"/>
              <w:end w:w="120" w:type="dxa"/>
            </w:tcMar>
          </w:tcPr>
          <w:p>
            <w:pPr>
              <w:spacing w:after="0"/>
            </w:pPr>
            <w:r>
              <w:rPr>
                <w:rFonts w:ascii="Calibri" w:hAnsi="Calibri"/>
                <w:b/>
                <w:color w:val="0B2545"/>
              </w:rPr>
              <w:t>2. Architecture</w:t>
            </w:r>
          </w:p>
        </w:tc>
        <w:tc>
          <w:tcPr>
            <w:tcW w:type="dxa" w:w="6660"/>
            <w:tcMar>
              <w:top w:w="80" w:type="dxa"/>
              <w:start w:w="120" w:type="dxa"/>
              <w:bottom w:w="80" w:type="dxa"/>
              <w:end w:w="120" w:type="dxa"/>
            </w:tcMar>
          </w:tcPr>
          <w:p>
            <w:pPr>
              <w:spacing w:after="0"/>
            </w:pPr>
            <w:r>
              <w:rPr>
                <w:rFonts w:ascii="Calibri" w:hAnsi="Calibri"/>
                <w:color w:val="111827"/>
              </w:rPr>
              <w:t>Hybrid boundary, deterministic engine, ML lens, API/UI</w:t>
            </w:r>
          </w:p>
        </w:tc>
      </w:tr>
      <w:tr>
        <w:trPr>
          <w:cantSplit/>
        </w:trPr>
        <w:tc>
          <w:tcPr>
            <w:tcW w:type="dxa" w:w="2700"/>
            <w:shd w:fill="E8EEF5"/>
            <w:vAlign w:val="center"/>
            <w:tcMar>
              <w:top w:w="80" w:type="dxa"/>
              <w:start w:w="120" w:type="dxa"/>
              <w:bottom w:w="80" w:type="dxa"/>
              <w:end w:w="120" w:type="dxa"/>
            </w:tcMar>
          </w:tcPr>
          <w:p>
            <w:pPr>
              <w:spacing w:after="0"/>
            </w:pPr>
            <w:r>
              <w:rPr>
                <w:rFonts w:ascii="Calibri" w:hAnsi="Calibri"/>
                <w:b/>
                <w:color w:val="0B2545"/>
              </w:rPr>
              <w:t>3. Methodology</w:t>
            </w:r>
          </w:p>
        </w:tc>
        <w:tc>
          <w:tcPr>
            <w:tcW w:type="dxa" w:w="6660"/>
            <w:tcMar>
              <w:top w:w="80" w:type="dxa"/>
              <w:start w:w="120" w:type="dxa"/>
              <w:bottom w:w="80" w:type="dxa"/>
              <w:end w:w="120" w:type="dxa"/>
            </w:tcMar>
          </w:tcPr>
          <w:p>
            <w:pPr>
              <w:spacing w:after="0"/>
            </w:pPr>
            <w:r>
              <w:rPr>
                <w:rFonts w:ascii="Calibri" w:hAnsi="Calibri"/>
                <w:color w:val="111827"/>
              </w:rPr>
              <w:t>Feature contract, leakage safety, train/calibration/test, metrics</w:t>
            </w:r>
          </w:p>
        </w:tc>
      </w:tr>
      <w:tr>
        <w:trPr>
          <w:cantSplit/>
        </w:trPr>
        <w:tc>
          <w:tcPr>
            <w:tcW w:type="dxa" w:w="2700"/>
            <w:shd w:fill="E8EEF5"/>
            <w:vAlign w:val="center"/>
            <w:tcMar>
              <w:top w:w="80" w:type="dxa"/>
              <w:start w:w="120" w:type="dxa"/>
              <w:bottom w:w="80" w:type="dxa"/>
              <w:end w:w="120" w:type="dxa"/>
            </w:tcMar>
          </w:tcPr>
          <w:p>
            <w:pPr>
              <w:spacing w:after="0"/>
            </w:pPr>
            <w:r>
              <w:rPr>
                <w:rFonts w:ascii="Calibri" w:hAnsi="Calibri"/>
                <w:b/>
                <w:color w:val="0B2545"/>
              </w:rPr>
              <w:t>4. Interview bank</w:t>
            </w:r>
          </w:p>
        </w:tc>
        <w:tc>
          <w:tcPr>
            <w:tcW w:type="dxa" w:w="6660"/>
            <w:tcMar>
              <w:top w:w="80" w:type="dxa"/>
              <w:start w:w="120" w:type="dxa"/>
              <w:bottom w:w="80" w:type="dxa"/>
              <w:end w:w="120" w:type="dxa"/>
            </w:tcMar>
          </w:tcPr>
          <w:p>
            <w:pPr>
              <w:spacing w:after="0"/>
            </w:pPr>
            <w:r>
              <w:rPr>
                <w:rFonts w:ascii="Calibri" w:hAnsi="Calibri"/>
                <w:color w:val="111827"/>
              </w:rPr>
              <w:t>Technical, product, fintech, production, governance, behavioural</w:t>
            </w:r>
          </w:p>
        </w:tc>
      </w:tr>
      <w:tr>
        <w:trPr>
          <w:cantSplit/>
        </w:trPr>
        <w:tc>
          <w:tcPr>
            <w:tcW w:type="dxa" w:w="2700"/>
            <w:shd w:fill="E8EEF5"/>
            <w:vAlign w:val="center"/>
            <w:tcMar>
              <w:top w:w="80" w:type="dxa"/>
              <w:start w:w="120" w:type="dxa"/>
              <w:bottom w:w="80" w:type="dxa"/>
              <w:end w:w="120" w:type="dxa"/>
            </w:tcMar>
          </w:tcPr>
          <w:p>
            <w:pPr>
              <w:spacing w:after="0"/>
            </w:pPr>
            <w:r>
              <w:rPr>
                <w:rFonts w:ascii="Calibri" w:hAnsi="Calibri"/>
                <w:b/>
                <w:color w:val="0B2545"/>
              </w:rPr>
              <w:t>5. Demo</w:t>
            </w:r>
          </w:p>
        </w:tc>
        <w:tc>
          <w:tcPr>
            <w:tcW w:type="dxa" w:w="6660"/>
            <w:tcMar>
              <w:top w:w="80" w:type="dxa"/>
              <w:start w:w="120" w:type="dxa"/>
              <w:bottom w:w="80" w:type="dxa"/>
              <w:end w:w="120" w:type="dxa"/>
            </w:tcMar>
          </w:tcPr>
          <w:p>
            <w:pPr>
              <w:spacing w:after="0"/>
            </w:pPr>
            <w:r>
              <w:rPr>
                <w:rFonts w:ascii="Calibri" w:hAnsi="Calibri"/>
                <w:color w:val="111827"/>
              </w:rPr>
              <w:t>Five-minute script, scenarios, failure recovery, close</w:t>
            </w:r>
          </w:p>
        </w:tc>
      </w:tr>
      <w:tr>
        <w:trPr>
          <w:cantSplit/>
        </w:trPr>
        <w:tc>
          <w:tcPr>
            <w:tcW w:type="dxa" w:w="2700"/>
            <w:shd w:fill="E8EEF5"/>
            <w:vAlign w:val="center"/>
            <w:tcMar>
              <w:top w:w="80" w:type="dxa"/>
              <w:start w:w="120" w:type="dxa"/>
              <w:bottom w:w="80" w:type="dxa"/>
              <w:end w:w="120" w:type="dxa"/>
            </w:tcMar>
          </w:tcPr>
          <w:p>
            <w:pPr>
              <w:spacing w:after="0"/>
            </w:pPr>
            <w:r>
              <w:rPr>
                <w:rFonts w:ascii="Calibri" w:hAnsi="Calibri"/>
                <w:b/>
                <w:color w:val="0B2545"/>
              </w:rPr>
              <w:t>6. Practice</w:t>
            </w:r>
          </w:p>
        </w:tc>
        <w:tc>
          <w:tcPr>
            <w:tcW w:type="dxa" w:w="6660"/>
            <w:tcMar>
              <w:top w:w="80" w:type="dxa"/>
              <w:start w:w="120" w:type="dxa"/>
              <w:bottom w:w="80" w:type="dxa"/>
              <w:end w:w="120" w:type="dxa"/>
            </w:tcMar>
          </w:tcPr>
          <w:p>
            <w:pPr>
              <w:spacing w:after="0"/>
            </w:pPr>
            <w:r>
              <w:rPr>
                <w:rFonts w:ascii="Calibri" w:hAnsi="Calibri"/>
                <w:color w:val="111827"/>
              </w:rPr>
              <w:t>Whiteboard prompts, STAR story, seven-day preparation plan</w:t>
            </w:r>
          </w:p>
        </w:tc>
      </w:tr>
    </w:tbl>
    <w:p>
      <w:pPr>
        <w:spacing w:after="0"/>
      </w:pPr>
    </w:p>
    <w:p>
      <w:pPr>
        <w:spacing w:before="100" w:after="160" w:line="276" w:lineRule="auto"/>
        <w:ind w:left="173" w:right="115"/>
        <w:pBdr>
          <w:left w:val="single" w:sz="18" w:space="8" w:color="9B1C1C"/>
        </w:pBdr>
        <w:shd w:fill="FFF0F0"/>
      </w:pPr>
      <w:r>
        <w:rPr>
          <w:rFonts w:ascii="Calibri" w:hAnsi="Calibri"/>
          <w:b/>
          <w:color w:val="9B1C1C"/>
        </w:rPr>
        <w:t xml:space="preserve">Interview rule: </w:t>
      </w:r>
      <w:r>
        <w:rPr>
          <w:rFonts w:ascii="Calibri" w:hAnsi="Calibri"/>
          <w:color w:val="111827"/>
        </w:rPr>
        <w:t>Never present the Financial Readiness Score as a bureau credit score, the Home Credit TARGET as a universal definition of default, or the ML probability as the eligibility authority.</w:t>
      </w:r>
    </w:p>
    <w:p>
      <w:r>
        <w:br w:type="page"/>
      </w:r>
    </w:p>
    <w:p>
      <w:pPr>
        <w:pStyle w:val="Heading1"/>
      </w:pPr>
      <w:r>
        <w:t>1. Tell the project story</w:t>
      </w:r>
    </w:p>
    <w:p>
      <w:pPr>
        <w:pStyle w:val="Heading2"/>
      </w:pPr>
      <w:r>
        <w:t>The 60-second answer</w:t>
      </w:r>
    </w:p>
    <w:p>
      <w:pPr>
        <w:spacing w:before="100" w:after="160" w:line="276" w:lineRule="auto"/>
        <w:ind w:left="173" w:right="115"/>
        <w:pBdr>
          <w:left w:val="single" w:sz="18" w:space="8" w:color="2E74B5"/>
        </w:pBdr>
        <w:shd w:fill="EDF4FB"/>
      </w:pPr>
      <w:r>
        <w:rPr>
          <w:rFonts w:ascii="Calibri" w:hAnsi="Calibri"/>
          <w:b/>
          <w:color w:val="2E74B5"/>
        </w:rPr>
        <w:t xml:space="preserve">Suggested pitch: </w:t>
      </w:r>
      <w:r>
        <w:rPr>
          <w:rFonts w:ascii="Calibri" w:hAnsi="Calibri"/>
          <w:color w:val="111827"/>
        </w:rPr>
        <w:t>I built a hybrid credit-risk decision simulator that separates two questions banks often need to answer: can the applicant afford the requested structure, and how does the application compare with historical payment-difficulty outcomes? Affordability is deterministic and transparent: it calculates EMI capacity, maximum eligible principal, residual income, debt-service ratios, policy checks, and repayment options. A separate XGBoost model uses only fields reproducible from the simplified form, then applies sigmoid calibration to return a historical repayment-stress probability and local reason directions. I trained on 196,806 rows, calibrated on 49,202 separate rows, and evaluated once on 61,503 final-test rows. The final ROC-AUC is 0.6448, PR-AUC 0.1406, and Brier score 0.07257. The system is delivered through Streamlit and FastAPI, with validation tests and graceful behavior when artifacts are missing.</w:t>
      </w:r>
    </w:p>
    <w:p>
      <w:pPr>
        <w:pStyle w:val="Heading2"/>
      </w:pPr>
      <w:r>
        <w:t>The two-minute walkthrough</w:t>
      </w:r>
    </w:p>
    <w:p>
      <w:pPr>
        <w:pStyle w:val="ListNumber"/>
        <w:numPr>
          <w:ilvl w:val="0"/>
          <w:numId w:val="11"/>
        </w:numPr>
      </w:pPr>
      <w:r>
        <w:rPr>
          <w:rFonts w:ascii="Calibri" w:hAnsi="Calibri"/>
          <w:color w:val="111827"/>
        </w:rPr>
        <w:t>Problem: a pure classifier was not aligned with the simple user experience, while a pure affordability calculator did not demonstrate ML.</w:t>
      </w:r>
    </w:p>
    <w:p>
      <w:pPr>
        <w:pStyle w:val="ListNumber"/>
        <w:numPr>
          <w:ilvl w:val="0"/>
          <w:numId w:val="11"/>
        </w:numPr>
      </w:pPr>
      <w:r>
        <w:rPr>
          <w:rFonts w:ascii="Calibri" w:hAnsi="Calibri"/>
          <w:color w:val="111827"/>
        </w:rPr>
        <w:t>Design decision: keep deterministic lending-policy simulation and historical ML estimation separate, then present both in one explainable dashboard.</w:t>
      </w:r>
    </w:p>
    <w:p>
      <w:pPr>
        <w:pStyle w:val="ListNumber"/>
        <w:numPr>
          <w:ilvl w:val="0"/>
          <w:numId w:val="11"/>
        </w:numPr>
      </w:pPr>
      <w:r>
        <w:rPr>
          <w:rFonts w:ascii="Calibri" w:hAnsi="Calibri"/>
          <w:color w:val="111827"/>
        </w:rPr>
        <w:t>Data contract: train the live model only on form-derivable fields; do not silently fill fields that the user never supplied.</w:t>
      </w:r>
    </w:p>
    <w:p>
      <w:pPr>
        <w:pStyle w:val="ListNumber"/>
        <w:numPr>
          <w:ilvl w:val="0"/>
          <w:numId w:val="11"/>
        </w:numPr>
      </w:pPr>
      <w:r>
        <w:rPr>
          <w:rFonts w:ascii="Calibri" w:hAnsi="Calibri"/>
          <w:color w:val="111827"/>
        </w:rPr>
        <w:t>Methodology: compare candidates inside training data, fit calibration on a distinct partition, and reserve a final test for one evaluation after choices are fixed.</w:t>
      </w:r>
    </w:p>
    <w:p>
      <w:pPr>
        <w:pStyle w:val="ListNumber"/>
        <w:numPr>
          <w:ilvl w:val="0"/>
          <w:numId w:val="11"/>
        </w:numPr>
      </w:pPr>
      <w:r>
        <w:rPr>
          <w:rFonts w:ascii="Calibri" w:hAnsi="Calibri"/>
          <w:color w:val="111827"/>
        </w:rPr>
        <w:t>Delivery: expose the same domain result through Streamlit and FastAPI, persist model metadata, and return an explicit unavailable state if artifacts are absent.</w:t>
      </w:r>
    </w:p>
    <w:p>
      <w:pPr>
        <w:pStyle w:val="ListNumber"/>
        <w:numPr>
          <w:ilvl w:val="0"/>
          <w:numId w:val="11"/>
        </w:numPr>
      </w:pPr>
      <w:r>
        <w:rPr>
          <w:rFonts w:ascii="Calibri" w:hAnsi="Calibri"/>
          <w:color w:val="111827"/>
        </w:rPr>
        <w:t>Honest limitation: the Home Credit population and income definitions may not represent a real bank's applicants, so this is a portfolio simulation rather than production underwriting policy.</w:t>
      </w:r>
    </w:p>
    <w:p>
      <w:pPr>
        <w:pStyle w:val="Heading2"/>
      </w:pPr>
      <w:r>
        <w:t>What makes the project interview-worthy</w:t>
      </w:r>
    </w:p>
    <w:p>
      <w:pPr>
        <w:pStyle w:val="ListBullet"/>
      </w:pPr>
      <w:r>
        <w:rPr>
          <w:rFonts w:ascii="Calibri" w:hAnsi="Calibri"/>
          <w:color w:val="111827"/>
        </w:rPr>
        <w:t>It demonstrates product judgment: it answers a useful user question instead of forcing an approve/reject classifier into every screen.</w:t>
      </w:r>
    </w:p>
    <w:p>
      <w:pPr>
        <w:pStyle w:val="ListBullet"/>
      </w:pPr>
      <w:r>
        <w:rPr>
          <w:rFonts w:ascii="Calibri" w:hAnsi="Calibri"/>
          <w:color w:val="111827"/>
        </w:rPr>
        <w:t>It demonstrates ML judgment: the test set is not used for model selection, probability calibration is explicit, and model features are reproducible at inference.</w:t>
      </w:r>
    </w:p>
    <w:p>
      <w:pPr>
        <w:pStyle w:val="ListBullet"/>
      </w:pPr>
      <w:r>
        <w:rPr>
          <w:rFonts w:ascii="Calibri" w:hAnsi="Calibri"/>
          <w:color w:val="111827"/>
        </w:rPr>
        <w:t>It demonstrates software engineering: reusable components, API schemas, artifact handling, automated tests, notebook validation, and clear failure modes.</w:t>
      </w:r>
    </w:p>
    <w:p>
      <w:pPr>
        <w:pStyle w:val="ListBullet"/>
      </w:pPr>
      <w:r>
        <w:rPr>
          <w:rFonts w:ascii="Calibri" w:hAnsi="Calibri"/>
          <w:color w:val="111827"/>
        </w:rPr>
        <w:t>It demonstrates responsible communication: model limitations, data mismatch, illustrative policies, and non-bureau status are visible in the product.</w:t>
      </w:r>
    </w:p>
    <w:p>
      <w:r>
        <w:br w:type="page"/>
      </w:r>
    </w:p>
    <w:p>
      <w:pPr>
        <w:pStyle w:val="Heading1"/>
      </w:pPr>
      <w:r>
        <w:t>2. Architecture and decision boundaries</w:t>
      </w:r>
    </w:p>
    <w:p>
      <w:r>
        <w:rPr>
          <w:rFonts w:ascii="Calibri" w:hAnsi="Calibri"/>
          <w:color w:val="111827"/>
        </w:rPr>
        <w:t>The strongest architectural point is not the choice of XGBoost. It is the separation of responsibilities. The deterministic engine owns affordability; ML contributes a secondary historical comparison.</w:t>
      </w:r>
    </w:p>
    <w:p>
      <w:r>
        <w:drawing>
          <wp:inline xmlns:a="http://schemas.openxmlformats.org/drawingml/2006/main" xmlns:pic="http://schemas.openxmlformats.org/drawingml/2006/picture">
            <wp:extent cx="5989320" cy="2858539"/>
            <wp:docPr id="1" name="Picture 1" descr="Hybrid credit decision flow from applicant inputs through separate deterministic affordability and calibrated machine-learning stress components into one result delivered by Streamlit and FastAPI."/>
            <wp:cNvGraphicFramePr>
              <a:graphicFrameLocks noChangeAspect="1"/>
            </wp:cNvGraphicFramePr>
            <a:graphic>
              <a:graphicData uri="http://schemas.openxmlformats.org/drawingml/2006/picture">
                <pic:pic>
                  <pic:nvPicPr>
                    <pic:cNvPr id="0" name="hybrid_architecture.png"/>
                    <pic:cNvPicPr/>
                  </pic:nvPicPr>
                  <pic:blipFill>
                    <a:blip r:embed="rId11"/>
                    <a:stretch>
                      <a:fillRect/>
                    </a:stretch>
                  </pic:blipFill>
                  <pic:spPr>
                    <a:xfrm>
                      <a:off x="0" y="0"/>
                      <a:ext cx="5989320" cy="2858539"/>
                    </a:xfrm>
                    <a:prstGeom prst="rect"/>
                  </pic:spPr>
                </pic:pic>
              </a:graphicData>
            </a:graphic>
          </wp:inline>
        </w:drawing>
      </w:r>
    </w:p>
    <w:p>
      <w:pPr>
        <w:jc w:val="center"/>
      </w:pPr>
      <w:r>
        <w:rPr>
          <w:rFonts w:ascii="Calibri" w:hAnsi="Calibri"/>
          <w:i/>
          <w:color w:val="606A78"/>
          <w:sz w:val="17"/>
        </w:rPr>
        <w:t>Figure 1. Live hybrid decision flow</w:t>
      </w:r>
    </w:p>
    <w:p>
      <w:pPr>
        <w:pStyle w:val="Heading2"/>
      </w:pPr>
      <w:r>
        <w:t>Component responsibilities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blHeader w:val="true"/>
        </w:trPr>
        <w:tc>
          <w:tcPr>
            <w:tcW w:type="dxa" w:w="2700"/>
            <w:shd w:fill="E8EEF5"/>
            <w:vAlign w:val="center"/>
            <w:tcMar>
              <w:top w:w="80" w:type="dxa"/>
              <w:start w:w="120" w:type="dxa"/>
              <w:bottom w:w="80" w:type="dxa"/>
              <w:end w:w="120" w:type="dxa"/>
            </w:tcMar>
          </w:tcPr>
          <w:p>
            <w:pPr>
              <w:spacing w:after="0"/>
            </w:pPr>
            <w:r>
              <w:rPr>
                <w:rFonts w:ascii="Calibri" w:hAnsi="Calibri"/>
                <w:b/>
                <w:color w:val="0B2545"/>
              </w:rPr>
              <w:t>app.py</w:t>
            </w:r>
          </w:p>
        </w:tc>
        <w:tc>
          <w:tcPr>
            <w:tcW w:type="dxa" w:w="6660"/>
            <w:tcMar>
              <w:top w:w="80" w:type="dxa"/>
              <w:start w:w="120" w:type="dxa"/>
              <w:bottom w:w="80" w:type="dxa"/>
              <w:end w:w="120" w:type="dxa"/>
            </w:tcMar>
          </w:tcPr>
          <w:p>
            <w:pPr>
              <w:spacing w:after="0"/>
            </w:pPr>
            <w:r>
              <w:rPr>
                <w:rFonts w:ascii="Calibri" w:hAnsi="Calibri"/>
                <w:color w:val="111827"/>
              </w:rPr>
              <w:t>Collects simplified inputs and renders Applicant Dashboard and Decision Insights.</w:t>
            </w:r>
          </w:p>
        </w:tc>
      </w:tr>
      <w:tr>
        <w:trPr>
          <w:cantSplit/>
        </w:trPr>
        <w:tc>
          <w:tcPr>
            <w:tcW w:type="dxa" w:w="2700"/>
            <w:shd w:fill="E8EEF5"/>
            <w:vAlign w:val="center"/>
            <w:tcMar>
              <w:top w:w="80" w:type="dxa"/>
              <w:start w:w="120" w:type="dxa"/>
              <w:bottom w:w="80" w:type="dxa"/>
              <w:end w:w="120" w:type="dxa"/>
            </w:tcMar>
          </w:tcPr>
          <w:p>
            <w:pPr>
              <w:spacing w:after="0"/>
            </w:pPr>
            <w:r>
              <w:rPr>
                <w:rFonts w:ascii="Calibri" w:hAnsi="Calibri"/>
                <w:b/>
                <w:color w:val="0B2545"/>
              </w:rPr>
              <w:t>api.py</w:t>
            </w:r>
          </w:p>
        </w:tc>
        <w:tc>
          <w:tcPr>
            <w:tcW w:type="dxa" w:w="6660"/>
            <w:tcMar>
              <w:top w:w="80" w:type="dxa"/>
              <w:start w:w="120" w:type="dxa"/>
              <w:bottom w:w="80" w:type="dxa"/>
              <w:end w:w="120" w:type="dxa"/>
            </w:tcMar>
          </w:tcPr>
          <w:p>
            <w:pPr>
              <w:spacing w:after="0"/>
            </w:pPr>
            <w:r>
              <w:rPr>
                <w:rFonts w:ascii="Calibri" w:hAnsi="Calibri"/>
                <w:color w:val="111827"/>
              </w:rPr>
              <w:t>Validates typed requests and exposes /simulate, /products, and /health.</w:t>
            </w:r>
          </w:p>
        </w:tc>
      </w:tr>
      <w:tr>
        <w:trPr>
          <w:cantSplit/>
        </w:trPr>
        <w:tc>
          <w:tcPr>
            <w:tcW w:type="dxa" w:w="2700"/>
            <w:shd w:fill="E8EEF5"/>
            <w:vAlign w:val="center"/>
            <w:tcMar>
              <w:top w:w="80" w:type="dxa"/>
              <w:start w:w="120" w:type="dxa"/>
              <w:bottom w:w="80" w:type="dxa"/>
              <w:end w:w="120" w:type="dxa"/>
            </w:tcMar>
          </w:tcPr>
          <w:p>
            <w:pPr>
              <w:spacing w:after="0"/>
            </w:pPr>
            <w:r>
              <w:rPr>
                <w:rFonts w:ascii="Calibri" w:hAnsi="Calibri"/>
                <w:b/>
                <w:color w:val="0B2545"/>
              </w:rPr>
              <w:t>loan_simulator.py</w:t>
            </w:r>
          </w:p>
        </w:tc>
        <w:tc>
          <w:tcPr>
            <w:tcW w:type="dxa" w:w="6660"/>
            <w:tcMar>
              <w:top w:w="80" w:type="dxa"/>
              <w:start w:w="120" w:type="dxa"/>
              <w:bottom w:w="80" w:type="dxa"/>
              <w:end w:w="120" w:type="dxa"/>
            </w:tcMar>
          </w:tcPr>
          <w:p>
            <w:pPr>
              <w:spacing w:after="0"/>
            </w:pPr>
            <w:r>
              <w:rPr>
                <w:rFonts w:ascii="Calibri" w:hAnsi="Calibri"/>
                <w:color w:val="111827"/>
              </w:rPr>
              <w:t>Calculates EMI, maximum principal, readiness score, policy checks, plans, and recommendations.</w:t>
            </w:r>
          </w:p>
        </w:tc>
      </w:tr>
      <w:tr>
        <w:trPr>
          <w:cantSplit/>
        </w:trPr>
        <w:tc>
          <w:tcPr>
            <w:tcW w:type="dxa" w:w="2700"/>
            <w:shd w:fill="E8EEF5"/>
            <w:vAlign w:val="center"/>
            <w:tcMar>
              <w:top w:w="80" w:type="dxa"/>
              <w:start w:w="120" w:type="dxa"/>
              <w:bottom w:w="80" w:type="dxa"/>
              <w:end w:w="120" w:type="dxa"/>
            </w:tcMar>
          </w:tcPr>
          <w:p>
            <w:pPr>
              <w:spacing w:after="0"/>
            </w:pPr>
            <w:r>
              <w:rPr>
                <w:rFonts w:ascii="Calibri" w:hAnsi="Calibri"/>
                <w:b/>
                <w:color w:val="0B2545"/>
              </w:rPr>
              <w:t>repayment_stress.py</w:t>
            </w:r>
          </w:p>
        </w:tc>
        <w:tc>
          <w:tcPr>
            <w:tcW w:type="dxa" w:w="6660"/>
            <w:tcMar>
              <w:top w:w="80" w:type="dxa"/>
              <w:start w:w="120" w:type="dxa"/>
              <w:bottom w:w="80" w:type="dxa"/>
              <w:end w:w="120" w:type="dxa"/>
            </w:tcMar>
          </w:tcPr>
          <w:p>
            <w:pPr>
              <w:spacing w:after="0"/>
            </w:pPr>
            <w:r>
              <w:rPr>
                <w:rFonts w:ascii="Calibri" w:hAnsi="Calibri"/>
                <w:color w:val="111827"/>
              </w:rPr>
              <w:t>Builds the live ML feature row, loads artifacts, predicts calibrated probability, assigns a descriptive band, and produces local directions.</w:t>
            </w:r>
          </w:p>
        </w:tc>
      </w:tr>
      <w:tr>
        <w:trPr>
          <w:cantSplit/>
        </w:trPr>
        <w:tc>
          <w:tcPr>
            <w:tcW w:type="dxa" w:w="2700"/>
            <w:shd w:fill="E8EEF5"/>
            <w:vAlign w:val="center"/>
            <w:tcMar>
              <w:top w:w="80" w:type="dxa"/>
              <w:start w:w="120" w:type="dxa"/>
              <w:bottom w:w="80" w:type="dxa"/>
              <w:end w:w="120" w:type="dxa"/>
            </w:tcMar>
          </w:tcPr>
          <w:p>
            <w:pPr>
              <w:spacing w:after="0"/>
            </w:pPr>
            <w:r>
              <w:rPr>
                <w:rFonts w:ascii="Calibri" w:hAnsi="Calibri"/>
                <w:b/>
                <w:color w:val="0B2545"/>
              </w:rPr>
              <w:t>stress_training_pipeline.py</w:t>
            </w:r>
          </w:p>
        </w:tc>
        <w:tc>
          <w:tcPr>
            <w:tcW w:type="dxa" w:w="6660"/>
            <w:tcMar>
              <w:top w:w="80" w:type="dxa"/>
              <w:start w:w="120" w:type="dxa"/>
              <w:bottom w:w="80" w:type="dxa"/>
              <w:end w:w="120" w:type="dxa"/>
            </w:tcMar>
          </w:tcPr>
          <w:p>
            <w:pPr>
              <w:spacing w:after="0"/>
            </w:pPr>
            <w:r>
              <w:rPr>
                <w:rFonts w:ascii="Calibri" w:hAnsi="Calibri"/>
                <w:color w:val="111827"/>
              </w:rPr>
              <w:t>Runs train-only candidate comparison, separate calibration, final-test evaluation, and artifact persistence.</w:t>
            </w:r>
          </w:p>
        </w:tc>
      </w:tr>
      <w:tr>
        <w:trPr>
          <w:cantSplit/>
        </w:trPr>
        <w:tc>
          <w:tcPr>
            <w:tcW w:type="dxa" w:w="2700"/>
            <w:shd w:fill="E8EEF5"/>
            <w:vAlign w:val="center"/>
            <w:tcMar>
              <w:top w:w="80" w:type="dxa"/>
              <w:start w:w="120" w:type="dxa"/>
              <w:bottom w:w="80" w:type="dxa"/>
              <w:end w:w="120" w:type="dxa"/>
            </w:tcMar>
          </w:tcPr>
          <w:p>
            <w:pPr>
              <w:spacing w:after="0"/>
            </w:pPr>
            <w:r>
              <w:rPr>
                <w:rFonts w:ascii="Calibri" w:hAnsi="Calibri"/>
                <w:b/>
                <w:color w:val="0B2545"/>
              </w:rPr>
              <w:t>artifacts/</w:t>
            </w:r>
          </w:p>
        </w:tc>
        <w:tc>
          <w:tcPr>
            <w:tcW w:type="dxa" w:w="6660"/>
            <w:tcMar>
              <w:top w:w="80" w:type="dxa"/>
              <w:start w:w="120" w:type="dxa"/>
              <w:bottom w:w="80" w:type="dxa"/>
              <w:end w:w="120" w:type="dxa"/>
            </w:tcMar>
          </w:tcPr>
          <w:p>
            <w:pPr>
              <w:spacing w:after="0"/>
            </w:pPr>
            <w:r>
              <w:rPr>
                <w:rFonts w:ascii="Calibri" w:hAnsi="Calibri"/>
                <w:color w:val="111827"/>
              </w:rPr>
              <w:t>Stores ignored local model, metadata, and metric files; raw data is also excluded from Git.</w:t>
            </w:r>
          </w:p>
        </w:tc>
      </w:tr>
    </w:tbl>
    <w:p>
      <w:pPr>
        <w:spacing w:after="0"/>
      </w:pPr>
    </w:p>
    <w:p>
      <w:pPr>
        <w:pStyle w:val="Heading2"/>
      </w:pPr>
      <w:r>
        <w:t>Boundary you should draw on a whiteboard</w:t>
      </w:r>
    </w:p>
    <w:p>
      <w:pPr>
        <w:spacing w:before="60" w:after="160" w:line="240" w:lineRule="auto"/>
        <w:ind w:left="259" w:right="259"/>
        <w:shd w:fill="EEF2F7"/>
      </w:pPr>
      <w:r>
        <w:rPr>
          <w:rFonts w:ascii="Consolas" w:hAnsi="Consolas"/>
          <w:color w:val="0B2545"/>
          <w:sz w:val="18"/>
        </w:rPr>
        <w:t>Submitted inputs</w:t>
      </w:r>
      <w:r>
        <w:br/>
      </w:r>
      <w:r>
        <w:rPr>
          <w:rFonts w:ascii="Consolas" w:hAnsi="Consolas"/>
          <w:color w:val="0B2545"/>
          <w:sz w:val="18"/>
        </w:rPr>
        <w:t xml:space="preserve">    -&gt; Deterministic engine -&gt; eligibility, maximum loan, EMI plans</w:t>
      </w:r>
      <w:r>
        <w:br/>
      </w:r>
      <w:r>
        <w:rPr>
          <w:rFonts w:ascii="Consolas" w:hAnsi="Consolas"/>
          <w:color w:val="0B2545"/>
          <w:sz w:val="18"/>
        </w:rPr>
        <w:t xml:space="preserve">    -&gt; ML feature builder  -&gt; calibrated historical stress probability</w:t>
      </w:r>
      <w:r>
        <w:br/>
      </w:r>
      <w:r>
        <w:rPr>
          <w:rFonts w:ascii="Consolas" w:hAnsi="Consolas"/>
          <w:color w:val="0B2545"/>
          <w:sz w:val="18"/>
        </w:rPr>
        <w:t>Both outputs</w:t>
      </w:r>
      <w:r>
        <w:br/>
      </w:r>
      <w:r>
        <w:rPr>
          <w:rFonts w:ascii="Consolas" w:hAnsi="Consolas"/>
          <w:color w:val="0B2545"/>
          <w:sz w:val="18"/>
        </w:rPr>
        <w:t xml:space="preserve">    -&gt; one explainable response -&gt; Streamlit / FastAPI</w:t>
      </w:r>
    </w:p>
    <w:p>
      <w:pPr>
        <w:spacing w:before="100" w:after="160" w:line="276" w:lineRule="auto"/>
        <w:ind w:left="173" w:right="115"/>
        <w:pBdr>
          <w:left w:val="single" w:sz="18" w:space="8" w:color="287A4D"/>
        </w:pBdr>
        <w:shd w:fill="EAF5EF"/>
      </w:pPr>
      <w:r>
        <w:rPr>
          <w:rFonts w:ascii="Calibri" w:hAnsi="Calibri"/>
          <w:b/>
          <w:color w:val="287A4D"/>
        </w:rPr>
        <w:t xml:space="preserve">Why this matters: </w:t>
      </w:r>
      <w:r>
        <w:rPr>
          <w:rFonts w:ascii="Calibri" w:hAnsi="Calibri"/>
          <w:color w:val="111827"/>
        </w:rPr>
        <w:t>A probability can be statistically valid yet unsuitable as the authority for an affordability decision. The separation makes policy logic inspectable and prevents model uncertainty from being disguised as a rule.</w:t>
      </w:r>
    </w:p>
    <w:p>
      <w:pPr>
        <w:pStyle w:val="Heading1"/>
      </w:pPr>
      <w:r>
        <w:t>3. Deterministic affordability engine</w:t>
      </w:r>
    </w:p>
    <w:p>
      <w:pPr>
        <w:pStyle w:val="Heading2"/>
      </w:pPr>
      <w:r>
        <w:t>Core calculation</w:t>
      </w:r>
    </w:p>
    <w:p>
      <w:pPr>
        <w:spacing w:before="60" w:after="160" w:line="240" w:lineRule="auto"/>
        <w:ind w:left="259" w:right="259"/>
        <w:shd w:fill="EEF2F7"/>
      </w:pPr>
      <w:r>
        <w:rPr>
          <w:rFonts w:ascii="Consolas" w:hAnsi="Consolas"/>
          <w:color w:val="0B2545"/>
          <w:sz w:val="18"/>
        </w:rPr>
        <w:t>Debt-service capacity = monthly income x policy DSR limit - existing debt payments</w:t>
      </w:r>
      <w:r>
        <w:br/>
      </w:r>
      <w:r>
        <w:rPr>
          <w:rFonts w:ascii="Consolas" w:hAnsi="Consolas"/>
          <w:color w:val="0B2545"/>
          <w:sz w:val="18"/>
        </w:rPr>
        <w:t>Cash-flow capacity    = monthly income - essential expenses - existing debt payments</w:t>
      </w:r>
      <w:r>
        <w:br/>
      </w:r>
      <w:r>
        <w:rPr>
          <w:rFonts w:ascii="Consolas" w:hAnsi="Consolas"/>
          <w:color w:val="0B2545"/>
          <w:sz w:val="18"/>
        </w:rPr>
        <w:t xml:space="preserve">                        - required residual-income buffer</w:t>
      </w:r>
      <w:r>
        <w:br/>
      </w:r>
      <w:r>
        <w:rPr>
          <w:rFonts w:ascii="Consolas" w:hAnsi="Consolas"/>
          <w:color w:val="0B2545"/>
          <w:sz w:val="18"/>
        </w:rPr>
        <w:t>Maximum affordable EMI = min(debt-service capacity, cash-flow capacity)</w:t>
      </w:r>
      <w:r>
        <w:br/>
      </w:r>
      <w:r>
        <w:rPr>
          <w:rFonts w:ascii="Consolas" w:hAnsi="Consolas"/>
          <w:color w:val="0B2545"/>
          <w:sz w:val="18"/>
        </w:rPr>
        <w:t>Maximum eligible principal = present value of affordable EMI over an age-eligible term</w:t>
      </w:r>
    </w:p>
    <w:p>
      <w:r>
        <w:rPr>
          <w:rFonts w:ascii="Calibri" w:hAnsi="Calibri"/>
          <w:color w:val="111827"/>
        </w:rPr>
        <w:t>The principal is calculated with the standard amortizing-loan present-value formula and capped by the selected illustrative product policy. The preferred plan is checked separately, because an applicant may support a lower amount or another term even when the exact request fails.</w:t>
      </w:r>
    </w:p>
    <w:p>
      <w:pPr>
        <w:pStyle w:val="Heading2"/>
      </w:pPr>
      <w:r>
        <w:t>Illustrative product assumptions</w:t>
      </w:r>
    </w:p>
    <w:tbl>
      <w:tblPr>
        <w:tblW w:type="dxa" w:w="9360"/>
        <w:jc w:val="left"/>
        <w:tblLayout w:type="fixed"/>
        <w:tblLook w:firstColumn="1" w:firstRow="1" w:lastColumn="0" w:lastRow="0" w:noHBand="0" w:noVBand="1" w:val="04A0"/>
        <w:tblInd w:w="120" w:type="dxa"/>
      </w:tblPr>
      <w:tblGrid>
        <w:gridCol w:w="1700"/>
        <w:gridCol w:w="1200"/>
        <w:gridCol w:w="1700"/>
        <w:gridCol w:w="1800"/>
        <w:gridCol w:w="2960"/>
      </w:tblGrid>
      <w:tr>
        <w:trPr>
          <w:cantSplit/>
          <w:tblHeader w:val="true"/>
        </w:trPr>
        <w:tc>
          <w:tcPr>
            <w:tcW w:type="dxa" w:w="1700"/>
            <w:shd w:fill="0B2545"/>
            <w:tcMar>
              <w:top w:w="80" w:type="dxa"/>
              <w:start w:w="120" w:type="dxa"/>
              <w:bottom w:w="80" w:type="dxa"/>
              <w:end w:w="120" w:type="dxa"/>
            </w:tcMar>
          </w:tcPr>
          <w:p>
            <w:r>
              <w:rPr>
                <w:rFonts w:ascii="Calibri" w:hAnsi="Calibri"/>
                <w:b/>
                <w:color w:val="FFFFFF"/>
                <w:sz w:val="18"/>
              </w:rPr>
              <w:t>Product</w:t>
            </w:r>
          </w:p>
        </w:tc>
        <w:tc>
          <w:tcPr>
            <w:tcW w:type="dxa" w:w="1200"/>
            <w:shd w:fill="0B2545"/>
            <w:tcMar>
              <w:top w:w="80" w:type="dxa"/>
              <w:start w:w="120" w:type="dxa"/>
              <w:bottom w:w="80" w:type="dxa"/>
              <w:end w:w="120" w:type="dxa"/>
            </w:tcMar>
          </w:tcPr>
          <w:p>
            <w:r>
              <w:rPr>
                <w:rFonts w:ascii="Calibri" w:hAnsi="Calibri"/>
                <w:b/>
                <w:color w:val="FFFFFF"/>
                <w:sz w:val="18"/>
              </w:rPr>
              <w:t>Rate</w:t>
            </w:r>
          </w:p>
        </w:tc>
        <w:tc>
          <w:tcPr>
            <w:tcW w:type="dxa" w:w="1700"/>
            <w:shd w:fill="0B2545"/>
            <w:tcMar>
              <w:top w:w="80" w:type="dxa"/>
              <w:start w:w="120" w:type="dxa"/>
              <w:bottom w:w="80" w:type="dxa"/>
              <w:end w:w="120" w:type="dxa"/>
            </w:tcMar>
          </w:tcPr>
          <w:p>
            <w:r>
              <w:rPr>
                <w:rFonts w:ascii="Calibri" w:hAnsi="Calibri"/>
                <w:b/>
                <w:color w:val="FFFFFF"/>
                <w:sz w:val="18"/>
              </w:rPr>
              <w:t>Terms</w:t>
            </w:r>
          </w:p>
        </w:tc>
        <w:tc>
          <w:tcPr>
            <w:tcW w:type="dxa" w:w="1800"/>
            <w:shd w:fill="0B2545"/>
            <w:tcMar>
              <w:top w:w="80" w:type="dxa"/>
              <w:start w:w="120" w:type="dxa"/>
              <w:bottom w:w="80" w:type="dxa"/>
              <w:end w:w="120" w:type="dxa"/>
            </w:tcMar>
          </w:tcPr>
          <w:p>
            <w:r>
              <w:rPr>
                <w:rFonts w:ascii="Calibri" w:hAnsi="Calibri"/>
                <w:b/>
                <w:color w:val="FFFFFF"/>
                <w:sz w:val="18"/>
              </w:rPr>
              <w:t>DSR ceiling</w:t>
            </w:r>
          </w:p>
        </w:tc>
        <w:tc>
          <w:tcPr>
            <w:tcW w:type="dxa" w:w="2960"/>
            <w:shd w:fill="0B2545"/>
            <w:tcMar>
              <w:top w:w="80" w:type="dxa"/>
              <w:start w:w="120" w:type="dxa"/>
              <w:bottom w:w="80" w:type="dxa"/>
              <w:end w:w="120" w:type="dxa"/>
            </w:tcMar>
          </w:tcPr>
          <w:p>
            <w:r>
              <w:rPr>
                <w:rFonts w:ascii="Calibri" w:hAnsi="Calibri"/>
                <w:b/>
                <w:color w:val="FFFFFF"/>
                <w:sz w:val="18"/>
              </w:rPr>
              <w:t>Principal cap</w:t>
            </w:r>
          </w:p>
        </w:tc>
      </w:tr>
      <w:tr>
        <w:trPr>
          <w:cantSplit/>
        </w:trPr>
        <w:tc>
          <w:tcPr>
            <w:tcW w:type="dxa" w:w="1700"/>
            <w:tcMar>
              <w:top w:w="80" w:type="dxa"/>
              <w:start w:w="120" w:type="dxa"/>
              <w:bottom w:w="80" w:type="dxa"/>
              <w:end w:w="120" w:type="dxa"/>
            </w:tcMar>
          </w:tcPr>
          <w:p>
            <w:r>
              <w:rPr>
                <w:rFonts w:ascii="Calibri" w:hAnsi="Calibri"/>
                <w:color w:val="111827"/>
                <w:sz w:val="18"/>
              </w:rPr>
              <w:t>Personal</w:t>
            </w:r>
          </w:p>
        </w:tc>
        <w:tc>
          <w:tcPr>
            <w:tcW w:type="dxa" w:w="1200"/>
            <w:tcMar>
              <w:top w:w="80" w:type="dxa"/>
              <w:start w:w="120" w:type="dxa"/>
              <w:bottom w:w="80" w:type="dxa"/>
              <w:end w:w="120" w:type="dxa"/>
            </w:tcMar>
          </w:tcPr>
          <w:p>
            <w:r>
              <w:rPr>
                <w:rFonts w:ascii="Calibri" w:hAnsi="Calibri"/>
                <w:color w:val="111827"/>
                <w:sz w:val="18"/>
              </w:rPr>
              <w:t>14.0%</w:t>
            </w:r>
          </w:p>
        </w:tc>
        <w:tc>
          <w:tcPr>
            <w:tcW w:type="dxa" w:w="1700"/>
            <w:tcMar>
              <w:top w:w="80" w:type="dxa"/>
              <w:start w:w="120" w:type="dxa"/>
              <w:bottom w:w="80" w:type="dxa"/>
              <w:end w:w="120" w:type="dxa"/>
            </w:tcMar>
          </w:tcPr>
          <w:p>
            <w:r>
              <w:rPr>
                <w:rFonts w:ascii="Calibri" w:hAnsi="Calibri"/>
                <w:color w:val="111827"/>
                <w:sz w:val="18"/>
              </w:rPr>
              <w:t>12-60 mo</w:t>
            </w:r>
          </w:p>
        </w:tc>
        <w:tc>
          <w:tcPr>
            <w:tcW w:type="dxa" w:w="1800"/>
            <w:tcMar>
              <w:top w:w="80" w:type="dxa"/>
              <w:start w:w="120" w:type="dxa"/>
              <w:bottom w:w="80" w:type="dxa"/>
              <w:end w:w="120" w:type="dxa"/>
            </w:tcMar>
          </w:tcPr>
          <w:p>
            <w:r>
              <w:rPr>
                <w:rFonts w:ascii="Calibri" w:hAnsi="Calibri"/>
                <w:color w:val="111827"/>
                <w:sz w:val="18"/>
              </w:rPr>
              <w:t>40%</w:t>
            </w:r>
          </w:p>
        </w:tc>
        <w:tc>
          <w:tcPr>
            <w:tcW w:type="dxa" w:w="2960"/>
            <w:tcMar>
              <w:top w:w="80" w:type="dxa"/>
              <w:start w:w="120" w:type="dxa"/>
              <w:bottom w:w="80" w:type="dxa"/>
              <w:end w:w="120" w:type="dxa"/>
            </w:tcMar>
          </w:tcPr>
          <w:p>
            <w:r>
              <w:rPr>
                <w:rFonts w:ascii="Calibri" w:hAnsi="Calibri"/>
                <w:color w:val="111827"/>
                <w:sz w:val="18"/>
              </w:rPr>
              <w:t>2,000,000</w:t>
            </w:r>
          </w:p>
        </w:tc>
      </w:tr>
      <w:tr>
        <w:trPr>
          <w:cantSplit/>
        </w:trPr>
        <w:tc>
          <w:tcPr>
            <w:tcW w:type="dxa" w:w="1700"/>
            <w:tcMar>
              <w:top w:w="80" w:type="dxa"/>
              <w:start w:w="120" w:type="dxa"/>
              <w:bottom w:w="80" w:type="dxa"/>
              <w:end w:w="120" w:type="dxa"/>
            </w:tcMar>
          </w:tcPr>
          <w:p>
            <w:r>
              <w:rPr>
                <w:rFonts w:ascii="Calibri" w:hAnsi="Calibri"/>
                <w:color w:val="111827"/>
                <w:sz w:val="18"/>
              </w:rPr>
              <w:t>Vehicle</w:t>
            </w:r>
          </w:p>
        </w:tc>
        <w:tc>
          <w:tcPr>
            <w:tcW w:type="dxa" w:w="1200"/>
            <w:tcMar>
              <w:top w:w="80" w:type="dxa"/>
              <w:start w:w="120" w:type="dxa"/>
              <w:bottom w:w="80" w:type="dxa"/>
              <w:end w:w="120" w:type="dxa"/>
            </w:tcMar>
          </w:tcPr>
          <w:p>
            <w:r>
              <w:rPr>
                <w:rFonts w:ascii="Calibri" w:hAnsi="Calibri"/>
                <w:color w:val="111827"/>
                <w:sz w:val="18"/>
              </w:rPr>
              <w:t>10.0%</w:t>
            </w:r>
          </w:p>
        </w:tc>
        <w:tc>
          <w:tcPr>
            <w:tcW w:type="dxa" w:w="1700"/>
            <w:tcMar>
              <w:top w:w="80" w:type="dxa"/>
              <w:start w:w="120" w:type="dxa"/>
              <w:bottom w:w="80" w:type="dxa"/>
              <w:end w:w="120" w:type="dxa"/>
            </w:tcMar>
          </w:tcPr>
          <w:p>
            <w:r>
              <w:rPr>
                <w:rFonts w:ascii="Calibri" w:hAnsi="Calibri"/>
                <w:color w:val="111827"/>
                <w:sz w:val="18"/>
              </w:rPr>
              <w:t>12-84 mo</w:t>
            </w:r>
          </w:p>
        </w:tc>
        <w:tc>
          <w:tcPr>
            <w:tcW w:type="dxa" w:w="1800"/>
            <w:tcMar>
              <w:top w:w="80" w:type="dxa"/>
              <w:start w:w="120" w:type="dxa"/>
              <w:bottom w:w="80" w:type="dxa"/>
              <w:end w:w="120" w:type="dxa"/>
            </w:tcMar>
          </w:tcPr>
          <w:p>
            <w:r>
              <w:rPr>
                <w:rFonts w:ascii="Calibri" w:hAnsi="Calibri"/>
                <w:color w:val="111827"/>
                <w:sz w:val="18"/>
              </w:rPr>
              <w:t>45%</w:t>
            </w:r>
          </w:p>
        </w:tc>
        <w:tc>
          <w:tcPr>
            <w:tcW w:type="dxa" w:w="2960"/>
            <w:tcMar>
              <w:top w:w="80" w:type="dxa"/>
              <w:start w:w="120" w:type="dxa"/>
              <w:bottom w:w="80" w:type="dxa"/>
              <w:end w:w="120" w:type="dxa"/>
            </w:tcMar>
          </w:tcPr>
          <w:p>
            <w:r>
              <w:rPr>
                <w:rFonts w:ascii="Calibri" w:hAnsi="Calibri"/>
                <w:color w:val="111827"/>
                <w:sz w:val="18"/>
              </w:rPr>
              <w:t>5,000,000</w:t>
            </w:r>
          </w:p>
        </w:tc>
      </w:tr>
      <w:tr>
        <w:trPr>
          <w:cantSplit/>
        </w:trPr>
        <w:tc>
          <w:tcPr>
            <w:tcW w:type="dxa" w:w="1700"/>
            <w:tcMar>
              <w:top w:w="80" w:type="dxa"/>
              <w:start w:w="120" w:type="dxa"/>
              <w:bottom w:w="80" w:type="dxa"/>
              <w:end w:w="120" w:type="dxa"/>
            </w:tcMar>
          </w:tcPr>
          <w:p>
            <w:r>
              <w:rPr>
                <w:rFonts w:ascii="Calibri" w:hAnsi="Calibri"/>
                <w:color w:val="111827"/>
                <w:sz w:val="18"/>
              </w:rPr>
              <w:t>Home</w:t>
            </w:r>
          </w:p>
        </w:tc>
        <w:tc>
          <w:tcPr>
            <w:tcW w:type="dxa" w:w="1200"/>
            <w:tcMar>
              <w:top w:w="80" w:type="dxa"/>
              <w:start w:w="120" w:type="dxa"/>
              <w:bottom w:w="80" w:type="dxa"/>
              <w:end w:w="120" w:type="dxa"/>
            </w:tcMar>
          </w:tcPr>
          <w:p>
            <w:r>
              <w:rPr>
                <w:rFonts w:ascii="Calibri" w:hAnsi="Calibri"/>
                <w:color w:val="111827"/>
                <w:sz w:val="18"/>
              </w:rPr>
              <w:t>8.5%</w:t>
            </w:r>
          </w:p>
        </w:tc>
        <w:tc>
          <w:tcPr>
            <w:tcW w:type="dxa" w:w="1700"/>
            <w:tcMar>
              <w:top w:w="80" w:type="dxa"/>
              <w:start w:w="120" w:type="dxa"/>
              <w:bottom w:w="80" w:type="dxa"/>
              <w:end w:w="120" w:type="dxa"/>
            </w:tcMar>
          </w:tcPr>
          <w:p>
            <w:r>
              <w:rPr>
                <w:rFonts w:ascii="Calibri" w:hAnsi="Calibri"/>
                <w:color w:val="111827"/>
                <w:sz w:val="18"/>
              </w:rPr>
              <w:t>60-240 mo</w:t>
            </w:r>
          </w:p>
        </w:tc>
        <w:tc>
          <w:tcPr>
            <w:tcW w:type="dxa" w:w="1800"/>
            <w:tcMar>
              <w:top w:w="80" w:type="dxa"/>
              <w:start w:w="120" w:type="dxa"/>
              <w:bottom w:w="80" w:type="dxa"/>
              <w:end w:w="120" w:type="dxa"/>
            </w:tcMar>
          </w:tcPr>
          <w:p>
            <w:r>
              <w:rPr>
                <w:rFonts w:ascii="Calibri" w:hAnsi="Calibri"/>
                <w:color w:val="111827"/>
                <w:sz w:val="18"/>
              </w:rPr>
              <w:t>50%</w:t>
            </w:r>
          </w:p>
        </w:tc>
        <w:tc>
          <w:tcPr>
            <w:tcW w:type="dxa" w:w="2960"/>
            <w:tcMar>
              <w:top w:w="80" w:type="dxa"/>
              <w:start w:w="120" w:type="dxa"/>
              <w:bottom w:w="80" w:type="dxa"/>
              <w:end w:w="120" w:type="dxa"/>
            </w:tcMar>
          </w:tcPr>
          <w:p>
            <w:r>
              <w:rPr>
                <w:rFonts w:ascii="Calibri" w:hAnsi="Calibri"/>
                <w:color w:val="111827"/>
                <w:sz w:val="18"/>
              </w:rPr>
              <w:t>20,000,000</w:t>
            </w:r>
          </w:p>
        </w:tc>
      </w:tr>
    </w:tbl>
    <w:p>
      <w:pPr>
        <w:pStyle w:val="Heading2"/>
      </w:pPr>
      <w:r>
        <w:t>Financial Readiness Score</w:t>
      </w:r>
    </w:p>
    <w:p>
      <w:r>
        <w:rPr>
          <w:rFonts w:ascii="Calibri" w:hAnsi="Calibri"/>
          <w:color w:val="111827"/>
        </w:rPr>
        <w:t>The 0-100 score is transparent and input-only. It combines cash-flow headroom, existing debt burden, requested-loan burden, income stability, and expense balance. It is intentionally named a readiness score rather than a credit score because the application has no verified bureau history.</w:t>
      </w:r>
    </w:p>
    <w:p>
      <w:pPr>
        <w:pStyle w:val="Heading3"/>
        <w:keepNext/>
      </w:pPr>
      <w:r>
        <w:rPr>
          <w:rFonts w:ascii="Calibri" w:hAnsi="Calibri"/>
          <w:b/>
          <w:color w:val="1F4D78"/>
          <w:sz w:val="24"/>
        </w:rPr>
        <w:t>Why not make the ML model calculate the maximum loan?</w:t>
      </w:r>
    </w:p>
    <w:p>
      <w:r>
        <w:rPr>
          <w:rFonts w:ascii="Calibri" w:hAnsi="Calibri"/>
          <w:color w:val="111827"/>
        </w:rPr>
        <w:t>Maximum loan is a policy-and-affordability quantity that depends on rate, term, residual income, age-at-maturity, and risk appetite. A historical classifier estimates an outcome probability; it does not directly encode an acceptable principal. Keeping these separate is easier to audit and adjust.</w:t>
      </w:r>
    </w:p>
    <w:p>
      <w:pPr>
        <w:pStyle w:val="Heading3"/>
        <w:keepNext/>
      </w:pPr>
      <w:r>
        <w:rPr>
          <w:rFonts w:ascii="Calibri" w:hAnsi="Calibri"/>
          <w:b/>
          <w:color w:val="1F4D78"/>
          <w:sz w:val="24"/>
        </w:rPr>
        <w:t>What is the biggest assumption in the deterministic layer?</w:t>
      </w:r>
    </w:p>
    <w:p>
      <w:r>
        <w:rPr>
          <w:rFonts w:ascii="Calibri" w:hAnsi="Calibri"/>
          <w:color w:val="111827"/>
        </w:rPr>
        <w:t>The product rates, DSR ceilings, residual-income ratios, age limits, and principal caps are illustrative configuration. A real bank would replace them with approved, versioned policy and validated pricing inputs.</w:t>
      </w:r>
    </w:p>
    <w:p>
      <w:r>
        <w:br w:type="page"/>
      </w:r>
    </w:p>
    <w:p>
      <w:pPr>
        <w:pStyle w:val="Heading1"/>
      </w:pPr>
      <w:r>
        <w:t>4. ML methodology</w:t>
      </w:r>
    </w:p>
    <w:p>
      <w:pPr>
        <w:pStyle w:val="Heading2"/>
      </w:pPr>
      <w:r>
        <w:t>Prediction target</w:t>
      </w:r>
    </w:p>
    <w:p>
      <w:r>
        <w:rPr>
          <w:rFonts w:ascii="Calibri" w:hAnsi="Calibri"/>
          <w:color w:val="111827"/>
        </w:rPr>
        <w:t>The historical target is Home Credit TARGET=1, described as payment difficulty in the source dataset. In interviews, avoid casually renaming it as a universal default event. Default definitions vary by institution, product, and performance window.</w:t>
      </w:r>
    </w:p>
    <w:p>
      <w:pPr>
        <w:pStyle w:val="Heading2"/>
      </w:pPr>
      <w:r>
        <w:t>Live feature contract</w:t>
      </w:r>
    </w:p>
    <w:p>
      <w:pPr>
        <w:pStyle w:val="ListBullet"/>
      </w:pPr>
      <w:r>
        <w:rPr>
          <w:rFonts w:ascii="Calibri" w:hAnsi="Calibri"/>
          <w:color w:val="111827"/>
        </w:rPr>
        <w:t>Age</w:t>
      </w:r>
    </w:p>
    <w:p>
      <w:pPr>
        <w:pStyle w:val="ListBullet"/>
      </w:pPr>
      <w:r>
        <w:rPr>
          <w:rFonts w:ascii="Calibri" w:hAnsi="Calibri"/>
          <w:color w:val="111827"/>
        </w:rPr>
        <w:t>Income source normalized into the five form categories</w:t>
      </w:r>
    </w:p>
    <w:p>
      <w:pPr>
        <w:pStyle w:val="ListBullet"/>
      </w:pPr>
      <w:r>
        <w:rPr>
          <w:rFonts w:ascii="Calibri" w:hAnsi="Calibri"/>
          <w:color w:val="111827"/>
        </w:rPr>
        <w:t>Years of income stability</w:t>
      </w:r>
    </w:p>
    <w:p>
      <w:pPr>
        <w:pStyle w:val="ListBullet"/>
      </w:pPr>
      <w:r>
        <w:rPr>
          <w:rFonts w:ascii="Calibri" w:hAnsi="Calibri"/>
          <w:color w:val="111827"/>
        </w:rPr>
        <w:t>Submitted monthly income aligned with a monthlyized historical income proxy</w:t>
      </w:r>
    </w:p>
    <w:p>
      <w:pPr>
        <w:pStyle w:val="ListBullet"/>
      </w:pPr>
      <w:r>
        <w:rPr>
          <w:rFonts w:ascii="Calibri" w:hAnsi="Calibri"/>
          <w:color w:val="111827"/>
        </w:rPr>
        <w:t>Requested loan amount</w:t>
      </w:r>
    </w:p>
    <w:p>
      <w:pPr>
        <w:pStyle w:val="ListBullet"/>
      </w:pPr>
      <w:r>
        <w:rPr>
          <w:rFonts w:ascii="Calibri" w:hAnsi="Calibri"/>
          <w:color w:val="111827"/>
        </w:rPr>
        <w:t>Preferred-plan monthly EMI</w:t>
      </w:r>
    </w:p>
    <w:p>
      <w:pPr>
        <w:pStyle w:val="ListBullet"/>
      </w:pPr>
      <w:r>
        <w:rPr>
          <w:rFonts w:ascii="Calibri" w:hAnsi="Calibri"/>
          <w:color w:val="111827"/>
        </w:rPr>
        <w:t>Derived loan-to-annual-income ratio</w:t>
      </w:r>
    </w:p>
    <w:p>
      <w:pPr>
        <w:pStyle w:val="ListBullet"/>
      </w:pPr>
      <w:r>
        <w:rPr>
          <w:rFonts w:ascii="Calibri" w:hAnsi="Calibri"/>
          <w:color w:val="111827"/>
        </w:rPr>
        <w:t>Derived EMI-to-monthly-income ratio</w:t>
      </w:r>
    </w:p>
    <w:p>
      <w:pPr>
        <w:spacing w:before="100" w:after="160" w:line="276" w:lineRule="auto"/>
        <w:ind w:left="173" w:right="115"/>
        <w:pBdr>
          <w:left w:val="single" w:sz="18" w:space="8" w:color="9B1C1C"/>
        </w:pBdr>
        <w:shd w:fill="FFF0F0"/>
      </w:pPr>
      <w:r>
        <w:rPr>
          <w:rFonts w:ascii="Calibri" w:hAnsi="Calibri"/>
          <w:b/>
          <w:color w:val="9B1C1C"/>
        </w:rPr>
        <w:t xml:space="preserve">Excluded on purpose: </w:t>
      </w:r>
      <w:r>
        <w:rPr>
          <w:rFonts w:ascii="Calibri" w:hAnsi="Calibri"/>
          <w:color w:val="111827"/>
        </w:rPr>
        <w:t>Product type, essential expenses, existing debt payments, readiness score, bureau features, EXT_SOURCE values, and identifiers are not live ML features. Some are absent from the historical contract; others are unavailable or inappropriate at inference.</w:t>
      </w:r>
    </w:p>
    <w:p>
      <w:pPr>
        <w:pStyle w:val="Heading2"/>
      </w:pPr>
      <w:r>
        <w:t>Leakage-safe split</w:t>
      </w:r>
    </w:p>
    <w:tbl>
      <w:tblPr>
        <w:tblW w:type="dxa" w:w="9360"/>
        <w:jc w:val="left"/>
        <w:tblLayout w:type="fixed"/>
        <w:tblLook w:firstColumn="1" w:firstRow="1" w:lastColumn="0" w:lastRow="0" w:noHBand="0" w:noVBand="1" w:val="04A0"/>
        <w:tblInd w:w="120" w:type="dxa"/>
      </w:tblPr>
      <w:tblGrid>
        <w:gridCol w:w="1550"/>
        <w:gridCol w:w="1300"/>
        <w:gridCol w:w="2500"/>
        <w:gridCol w:w="4010"/>
      </w:tblGrid>
      <w:tr>
        <w:trPr>
          <w:cantSplit/>
          <w:tblHeader w:val="true"/>
        </w:trPr>
        <w:tc>
          <w:tcPr>
            <w:tcW w:type="dxa" w:w="1550"/>
            <w:shd w:fill="0B2545"/>
            <w:tcMar>
              <w:top w:w="80" w:type="dxa"/>
              <w:start w:w="120" w:type="dxa"/>
              <w:bottom w:w="80" w:type="dxa"/>
              <w:end w:w="120" w:type="dxa"/>
            </w:tcMar>
          </w:tcPr>
          <w:p>
            <w:r>
              <w:rPr>
                <w:rFonts w:ascii="Calibri" w:hAnsi="Calibri"/>
                <w:b/>
                <w:color w:val="FFFFFF"/>
                <w:sz w:val="18"/>
              </w:rPr>
              <w:t>Partition</w:t>
            </w:r>
          </w:p>
        </w:tc>
        <w:tc>
          <w:tcPr>
            <w:tcW w:type="dxa" w:w="1300"/>
            <w:shd w:fill="0B2545"/>
            <w:tcMar>
              <w:top w:w="80" w:type="dxa"/>
              <w:start w:w="120" w:type="dxa"/>
              <w:bottom w:w="80" w:type="dxa"/>
              <w:end w:w="120" w:type="dxa"/>
            </w:tcMar>
          </w:tcPr>
          <w:p>
            <w:r>
              <w:rPr>
                <w:rFonts w:ascii="Calibri" w:hAnsi="Calibri"/>
                <w:b/>
                <w:color w:val="FFFFFF"/>
                <w:sz w:val="18"/>
              </w:rPr>
              <w:t>Rows</w:t>
            </w:r>
          </w:p>
        </w:tc>
        <w:tc>
          <w:tcPr>
            <w:tcW w:type="dxa" w:w="2500"/>
            <w:shd w:fill="0B2545"/>
            <w:tcMar>
              <w:top w:w="80" w:type="dxa"/>
              <w:start w:w="120" w:type="dxa"/>
              <w:bottom w:w="80" w:type="dxa"/>
              <w:end w:w="120" w:type="dxa"/>
            </w:tcMar>
          </w:tcPr>
          <w:p>
            <w:r>
              <w:rPr>
                <w:rFonts w:ascii="Calibri" w:hAnsi="Calibri"/>
                <w:b/>
                <w:color w:val="FFFFFF"/>
                <w:sz w:val="18"/>
              </w:rPr>
              <w:t>Purpose</w:t>
            </w:r>
          </w:p>
        </w:tc>
        <w:tc>
          <w:tcPr>
            <w:tcW w:type="dxa" w:w="4010"/>
            <w:shd w:fill="0B2545"/>
            <w:tcMar>
              <w:top w:w="80" w:type="dxa"/>
              <w:start w:w="120" w:type="dxa"/>
              <w:bottom w:w="80" w:type="dxa"/>
              <w:end w:w="120" w:type="dxa"/>
            </w:tcMar>
          </w:tcPr>
          <w:p>
            <w:r>
              <w:rPr>
                <w:rFonts w:ascii="Calibri" w:hAnsi="Calibri"/>
                <w:b/>
                <w:color w:val="FFFFFF"/>
                <w:sz w:val="18"/>
              </w:rPr>
              <w:t>Allowed decisions</w:t>
            </w:r>
          </w:p>
        </w:tc>
      </w:tr>
      <w:tr>
        <w:trPr>
          <w:cantSplit/>
        </w:trPr>
        <w:tc>
          <w:tcPr>
            <w:tcW w:type="dxa" w:w="1550"/>
            <w:tcMar>
              <w:top w:w="80" w:type="dxa"/>
              <w:start w:w="120" w:type="dxa"/>
              <w:bottom w:w="80" w:type="dxa"/>
              <w:end w:w="120" w:type="dxa"/>
            </w:tcMar>
          </w:tcPr>
          <w:p>
            <w:r>
              <w:rPr>
                <w:rFonts w:ascii="Calibri" w:hAnsi="Calibri"/>
                <w:color w:val="111827"/>
                <w:sz w:val="17"/>
              </w:rPr>
              <w:t>Training</w:t>
            </w:r>
          </w:p>
        </w:tc>
        <w:tc>
          <w:tcPr>
            <w:tcW w:type="dxa" w:w="1300"/>
            <w:tcMar>
              <w:top w:w="80" w:type="dxa"/>
              <w:start w:w="120" w:type="dxa"/>
              <w:bottom w:w="80" w:type="dxa"/>
              <w:end w:w="120" w:type="dxa"/>
            </w:tcMar>
          </w:tcPr>
          <w:p>
            <w:r>
              <w:rPr>
                <w:rFonts w:ascii="Calibri" w:hAnsi="Calibri"/>
                <w:color w:val="111827"/>
                <w:sz w:val="17"/>
              </w:rPr>
              <w:t>196,806</w:t>
            </w:r>
          </w:p>
        </w:tc>
        <w:tc>
          <w:tcPr>
            <w:tcW w:type="dxa" w:w="2500"/>
            <w:tcMar>
              <w:top w:w="80" w:type="dxa"/>
              <w:start w:w="120" w:type="dxa"/>
              <w:bottom w:w="80" w:type="dxa"/>
              <w:end w:w="120" w:type="dxa"/>
            </w:tcMar>
          </w:tcPr>
          <w:p>
            <w:r>
              <w:rPr>
                <w:rFonts w:ascii="Calibri" w:hAnsi="Calibri"/>
                <w:color w:val="111827"/>
                <w:sz w:val="17"/>
              </w:rPr>
              <w:t>Fit and compare candidates</w:t>
            </w:r>
          </w:p>
        </w:tc>
        <w:tc>
          <w:tcPr>
            <w:tcW w:type="dxa" w:w="4010"/>
            <w:tcMar>
              <w:top w:w="80" w:type="dxa"/>
              <w:start w:w="120" w:type="dxa"/>
              <w:bottom w:w="80" w:type="dxa"/>
              <w:end w:w="120" w:type="dxa"/>
            </w:tcMar>
          </w:tcPr>
          <w:p>
            <w:r>
              <w:rPr>
                <w:rFonts w:ascii="Calibri" w:hAnsi="Calibri"/>
                <w:color w:val="111827"/>
                <w:sz w:val="17"/>
              </w:rPr>
              <w:t>Model selection via 3-fold OOF ROC-AUC; PR-AUC tie-breaker</w:t>
            </w:r>
          </w:p>
        </w:tc>
      </w:tr>
      <w:tr>
        <w:trPr>
          <w:cantSplit/>
        </w:trPr>
        <w:tc>
          <w:tcPr>
            <w:tcW w:type="dxa" w:w="1550"/>
            <w:tcMar>
              <w:top w:w="80" w:type="dxa"/>
              <w:start w:w="120" w:type="dxa"/>
              <w:bottom w:w="80" w:type="dxa"/>
              <w:end w:w="120" w:type="dxa"/>
            </w:tcMar>
          </w:tcPr>
          <w:p>
            <w:r>
              <w:rPr>
                <w:rFonts w:ascii="Calibri" w:hAnsi="Calibri"/>
                <w:color w:val="111827"/>
                <w:sz w:val="17"/>
              </w:rPr>
              <w:t>Calibration</w:t>
            </w:r>
          </w:p>
        </w:tc>
        <w:tc>
          <w:tcPr>
            <w:tcW w:type="dxa" w:w="1300"/>
            <w:tcMar>
              <w:top w:w="80" w:type="dxa"/>
              <w:start w:w="120" w:type="dxa"/>
              <w:bottom w:w="80" w:type="dxa"/>
              <w:end w:w="120" w:type="dxa"/>
            </w:tcMar>
          </w:tcPr>
          <w:p>
            <w:r>
              <w:rPr>
                <w:rFonts w:ascii="Calibri" w:hAnsi="Calibri"/>
                <w:color w:val="111827"/>
                <w:sz w:val="17"/>
              </w:rPr>
              <w:t>49,202</w:t>
            </w:r>
          </w:p>
        </w:tc>
        <w:tc>
          <w:tcPr>
            <w:tcW w:type="dxa" w:w="2500"/>
            <w:tcMar>
              <w:top w:w="80" w:type="dxa"/>
              <w:start w:w="120" w:type="dxa"/>
              <w:bottom w:w="80" w:type="dxa"/>
              <w:end w:w="120" w:type="dxa"/>
            </w:tcMar>
          </w:tcPr>
          <w:p>
            <w:r>
              <w:rPr>
                <w:rFonts w:ascii="Calibri" w:hAnsi="Calibri"/>
                <w:color w:val="111827"/>
                <w:sz w:val="17"/>
              </w:rPr>
              <w:t>Fit sigmoid probability mapping</w:t>
            </w:r>
          </w:p>
        </w:tc>
        <w:tc>
          <w:tcPr>
            <w:tcW w:type="dxa" w:w="4010"/>
            <w:tcMar>
              <w:top w:w="80" w:type="dxa"/>
              <w:start w:w="120" w:type="dxa"/>
              <w:bottom w:w="80" w:type="dxa"/>
              <w:end w:w="120" w:type="dxa"/>
            </w:tcMar>
          </w:tcPr>
          <w:p>
            <w:r>
              <w:rPr>
                <w:rFonts w:ascii="Calibri" w:hAnsi="Calibri"/>
                <w:color w:val="111827"/>
                <w:sz w:val="17"/>
              </w:rPr>
              <w:t>Calibration only; no base-model selection</w:t>
            </w:r>
          </w:p>
        </w:tc>
      </w:tr>
      <w:tr>
        <w:trPr>
          <w:cantSplit/>
        </w:trPr>
        <w:tc>
          <w:tcPr>
            <w:tcW w:type="dxa" w:w="1550"/>
            <w:tcMar>
              <w:top w:w="80" w:type="dxa"/>
              <w:start w:w="120" w:type="dxa"/>
              <w:bottom w:w="80" w:type="dxa"/>
              <w:end w:w="120" w:type="dxa"/>
            </w:tcMar>
          </w:tcPr>
          <w:p>
            <w:r>
              <w:rPr>
                <w:rFonts w:ascii="Calibri" w:hAnsi="Calibri"/>
                <w:color w:val="111827"/>
                <w:sz w:val="17"/>
              </w:rPr>
              <w:t>Final test</w:t>
            </w:r>
          </w:p>
        </w:tc>
        <w:tc>
          <w:tcPr>
            <w:tcW w:type="dxa" w:w="1300"/>
            <w:tcMar>
              <w:top w:w="80" w:type="dxa"/>
              <w:start w:w="120" w:type="dxa"/>
              <w:bottom w:w="80" w:type="dxa"/>
              <w:end w:w="120" w:type="dxa"/>
            </w:tcMar>
          </w:tcPr>
          <w:p>
            <w:r>
              <w:rPr>
                <w:rFonts w:ascii="Calibri" w:hAnsi="Calibri"/>
                <w:color w:val="111827"/>
                <w:sz w:val="17"/>
              </w:rPr>
              <w:t>61,503</w:t>
            </w:r>
          </w:p>
        </w:tc>
        <w:tc>
          <w:tcPr>
            <w:tcW w:type="dxa" w:w="2500"/>
            <w:tcMar>
              <w:top w:w="80" w:type="dxa"/>
              <w:start w:w="120" w:type="dxa"/>
              <w:bottom w:w="80" w:type="dxa"/>
              <w:end w:w="120" w:type="dxa"/>
            </w:tcMar>
          </w:tcPr>
          <w:p>
            <w:r>
              <w:rPr>
                <w:rFonts w:ascii="Calibri" w:hAnsi="Calibri"/>
                <w:color w:val="111827"/>
                <w:sz w:val="17"/>
              </w:rPr>
              <w:t>Estimate generalization</w:t>
            </w:r>
          </w:p>
        </w:tc>
        <w:tc>
          <w:tcPr>
            <w:tcW w:type="dxa" w:w="4010"/>
            <w:tcMar>
              <w:top w:w="80" w:type="dxa"/>
              <w:start w:w="120" w:type="dxa"/>
              <w:bottom w:w="80" w:type="dxa"/>
              <w:end w:w="120" w:type="dxa"/>
            </w:tcMar>
          </w:tcPr>
          <w:p>
            <w:r>
              <w:rPr>
                <w:rFonts w:ascii="Calibri" w:hAnsi="Calibri"/>
                <w:color w:val="111827"/>
                <w:sz w:val="17"/>
              </w:rPr>
              <w:t>One evaluation after choices are fixed</w:t>
            </w:r>
          </w:p>
        </w:tc>
      </w:tr>
    </w:tbl>
    <w:p>
      <w:pPr>
        <w:pStyle w:val="Heading2"/>
      </w:pPr>
      <w:r>
        <w:t>Model selection and calibration</w:t>
      </w:r>
    </w:p>
    <w:p>
      <w:r>
        <w:rPr>
          <w:rFonts w:ascii="Calibri" w:hAnsi="Calibri"/>
          <w:color w:val="111827"/>
        </w:rPr>
        <w:t>Logistic Regression and XGBoost were compared with out-of-fold predictions inside the training partition. XGBoost won with training OOF ROC-AUC 0.6415 versus 0.6149. The selected model used 350 trees, learning rate 0.05, depth 4, row and column subsampling, and L1/L2 regularization. Sigmoid calibration was then fitted on the separate calibration partition.</w:t>
      </w:r>
    </w:p>
    <w:p>
      <w:pPr>
        <w:pStyle w:val="Heading3"/>
        <w:keepNext/>
      </w:pPr>
      <w:r>
        <w:rPr>
          <w:rFonts w:ascii="Calibri" w:hAnsi="Calibri"/>
          <w:b/>
          <w:color w:val="1F4D78"/>
          <w:sz w:val="24"/>
        </w:rPr>
        <w:t>Why calibrate?</w:t>
      </w:r>
    </w:p>
    <w:p>
      <w:r>
        <w:rPr>
          <w:rFonts w:ascii="Calibri" w:hAnsi="Calibri"/>
          <w:color w:val="111827"/>
        </w:rPr>
        <w:t>A rank-ordering model can separate higher- and lower-risk examples while still producing probabilities that are systematically too high or too low. Calibration improves the interpretation of 0.08 as an estimated eight-percent event probability for similar cases, subject to dataset shift.</w:t>
      </w:r>
    </w:p>
    <w:p>
      <w:pPr>
        <w:pStyle w:val="Heading3"/>
        <w:keepNext/>
      </w:pPr>
      <w:r>
        <w:rPr>
          <w:rFonts w:ascii="Calibri" w:hAnsi="Calibri"/>
          <w:b/>
          <w:color w:val="1F4D78"/>
          <w:sz w:val="24"/>
        </w:rPr>
        <w:t>Why sigmoid rather than isotonic?</w:t>
      </w:r>
    </w:p>
    <w:p>
      <w:r>
        <w:rPr>
          <w:rFonts w:ascii="Calibri" w:hAnsi="Calibri"/>
          <w:color w:val="111827"/>
        </w:rPr>
        <w:t>For the live form-aligned model, sigmoid was fixed as a stable, lower-variance calibration method on a large but still distribution-specific calibration partition. Isotonic is more flexible but can overfit local steps. A stronger future design would compare methods using nested calibration validation rather than consulting the final test.</w:t>
      </w:r>
    </w:p>
    <w:p>
      <w:pPr>
        <w:pStyle w:val="Heading1"/>
      </w:pPr>
      <w:r>
        <w:t>5. Metrics and how to explain them</w:t>
      </w:r>
    </w:p>
    <w:p>
      <w:pPr>
        <w:pStyle w:val="Heading2"/>
      </w:pPr>
      <w:r>
        <w:t>Measured final-test performance</w:t>
      </w:r>
    </w:p>
    <w:tbl>
      <w:tblPr>
        <w:tblW w:type="dxa" w:w="9360"/>
        <w:jc w:val="left"/>
        <w:tblLayout w:type="fixed"/>
        <w:tblLook w:firstColumn="1" w:firstRow="1" w:lastColumn="0" w:lastRow="0" w:noHBand="0" w:noVBand="1" w:val="04A0"/>
        <w:tblInd w:w="120" w:type="dxa"/>
      </w:tblPr>
      <w:tblGrid>
        <w:gridCol w:w="1600"/>
        <w:gridCol w:w="1400"/>
        <w:gridCol w:w="6360"/>
      </w:tblGrid>
      <w:tr>
        <w:trPr>
          <w:cantSplit/>
          <w:tblHeader w:val="true"/>
        </w:trPr>
        <w:tc>
          <w:tcPr>
            <w:tcW w:type="dxa" w:w="1600"/>
            <w:shd w:fill="0B2545"/>
            <w:tcMar>
              <w:top w:w="80" w:type="dxa"/>
              <w:start w:w="120" w:type="dxa"/>
              <w:bottom w:w="80" w:type="dxa"/>
              <w:end w:w="120" w:type="dxa"/>
            </w:tcMar>
          </w:tcPr>
          <w:p>
            <w:r>
              <w:rPr>
                <w:rFonts w:ascii="Calibri" w:hAnsi="Calibri"/>
                <w:b/>
                <w:color w:val="FFFFFF"/>
                <w:sz w:val="18"/>
              </w:rPr>
              <w:t>Metric</w:t>
            </w:r>
          </w:p>
        </w:tc>
        <w:tc>
          <w:tcPr>
            <w:tcW w:type="dxa" w:w="1400"/>
            <w:shd w:fill="0B2545"/>
            <w:tcMar>
              <w:top w:w="80" w:type="dxa"/>
              <w:start w:w="120" w:type="dxa"/>
              <w:bottom w:w="80" w:type="dxa"/>
              <w:end w:w="120" w:type="dxa"/>
            </w:tcMar>
          </w:tcPr>
          <w:p>
            <w:r>
              <w:rPr>
                <w:rFonts w:ascii="Calibri" w:hAnsi="Calibri"/>
                <w:b/>
                <w:color w:val="FFFFFF"/>
                <w:sz w:val="18"/>
              </w:rPr>
              <w:t>Result</w:t>
            </w:r>
          </w:p>
        </w:tc>
        <w:tc>
          <w:tcPr>
            <w:tcW w:type="dxa" w:w="6360"/>
            <w:shd w:fill="0B2545"/>
            <w:tcMar>
              <w:top w:w="80" w:type="dxa"/>
              <w:start w:w="120" w:type="dxa"/>
              <w:bottom w:w="80" w:type="dxa"/>
              <w:end w:w="120" w:type="dxa"/>
            </w:tcMar>
          </w:tcPr>
          <w:p>
            <w:r>
              <w:rPr>
                <w:rFonts w:ascii="Calibri" w:hAnsi="Calibri"/>
                <w:b/>
                <w:color w:val="FFFFFF"/>
                <w:sz w:val="18"/>
              </w:rPr>
              <w:t>Interview interpretation</w:t>
            </w:r>
          </w:p>
        </w:tc>
      </w:tr>
      <w:tr>
        <w:trPr>
          <w:cantSplit/>
        </w:trPr>
        <w:tc>
          <w:tcPr>
            <w:tcW w:type="dxa" w:w="1600"/>
            <w:tcMar>
              <w:top w:w="80" w:type="dxa"/>
              <w:start w:w="120" w:type="dxa"/>
              <w:bottom w:w="80" w:type="dxa"/>
              <w:end w:w="120" w:type="dxa"/>
            </w:tcMar>
          </w:tcPr>
          <w:p>
            <w:r>
              <w:rPr>
                <w:rFonts w:ascii="Calibri" w:hAnsi="Calibri"/>
                <w:color w:val="111827"/>
                <w:sz w:val="18"/>
              </w:rPr>
              <w:t>ROC-AUC</w:t>
            </w:r>
          </w:p>
        </w:tc>
        <w:tc>
          <w:tcPr>
            <w:tcW w:type="dxa" w:w="1400"/>
            <w:tcMar>
              <w:top w:w="80" w:type="dxa"/>
              <w:start w:w="120" w:type="dxa"/>
              <w:bottom w:w="80" w:type="dxa"/>
              <w:end w:w="120" w:type="dxa"/>
            </w:tcMar>
          </w:tcPr>
          <w:p>
            <w:r>
              <w:rPr>
                <w:rFonts w:ascii="Calibri" w:hAnsi="Calibri"/>
                <w:color w:val="111827"/>
                <w:sz w:val="18"/>
              </w:rPr>
              <w:t>0.6448</w:t>
            </w:r>
          </w:p>
        </w:tc>
        <w:tc>
          <w:tcPr>
            <w:tcW w:type="dxa" w:w="6360"/>
            <w:tcMar>
              <w:top w:w="80" w:type="dxa"/>
              <w:start w:w="120" w:type="dxa"/>
              <w:bottom w:w="80" w:type="dxa"/>
              <w:end w:w="120" w:type="dxa"/>
            </w:tcMar>
          </w:tcPr>
          <w:p>
            <w:r>
              <w:rPr>
                <w:rFonts w:ascii="Calibri" w:hAnsi="Calibri"/>
                <w:color w:val="111827"/>
                <w:sz w:val="18"/>
              </w:rPr>
              <w:t>Moderate ranking ability across all threshold pairs; useful but not strong enough to claim production underwriting quality.</w:t>
            </w:r>
          </w:p>
        </w:tc>
      </w:tr>
      <w:tr>
        <w:trPr>
          <w:cantSplit/>
        </w:trPr>
        <w:tc>
          <w:tcPr>
            <w:tcW w:type="dxa" w:w="1600"/>
            <w:tcMar>
              <w:top w:w="80" w:type="dxa"/>
              <w:start w:w="120" w:type="dxa"/>
              <w:bottom w:w="80" w:type="dxa"/>
              <w:end w:w="120" w:type="dxa"/>
            </w:tcMar>
          </w:tcPr>
          <w:p>
            <w:r>
              <w:rPr>
                <w:rFonts w:ascii="Calibri" w:hAnsi="Calibri"/>
                <w:color w:val="111827"/>
                <w:sz w:val="18"/>
              </w:rPr>
              <w:t>PR-AUC</w:t>
            </w:r>
          </w:p>
        </w:tc>
        <w:tc>
          <w:tcPr>
            <w:tcW w:type="dxa" w:w="1400"/>
            <w:tcMar>
              <w:top w:w="80" w:type="dxa"/>
              <w:start w:w="120" w:type="dxa"/>
              <w:bottom w:w="80" w:type="dxa"/>
              <w:end w:w="120" w:type="dxa"/>
            </w:tcMar>
          </w:tcPr>
          <w:p>
            <w:r>
              <w:rPr>
                <w:rFonts w:ascii="Calibri" w:hAnsi="Calibri"/>
                <w:color w:val="111827"/>
                <w:sz w:val="18"/>
              </w:rPr>
              <w:t>0.1406</w:t>
            </w:r>
          </w:p>
        </w:tc>
        <w:tc>
          <w:tcPr>
            <w:tcW w:type="dxa" w:w="6360"/>
            <w:tcMar>
              <w:top w:w="80" w:type="dxa"/>
              <w:start w:w="120" w:type="dxa"/>
              <w:bottom w:w="80" w:type="dxa"/>
              <w:end w:w="120" w:type="dxa"/>
            </w:tcMar>
          </w:tcPr>
          <w:p>
            <w:r>
              <w:rPr>
                <w:rFonts w:ascii="Calibri" w:hAnsi="Calibri"/>
                <w:color w:val="111827"/>
                <w:sz w:val="18"/>
              </w:rPr>
              <w:t>More informative under class imbalance because it focuses on precision-recall performance for payment difficulty.</w:t>
            </w:r>
          </w:p>
        </w:tc>
      </w:tr>
      <w:tr>
        <w:trPr>
          <w:cantSplit/>
        </w:trPr>
        <w:tc>
          <w:tcPr>
            <w:tcW w:type="dxa" w:w="1600"/>
            <w:tcMar>
              <w:top w:w="80" w:type="dxa"/>
              <w:start w:w="120" w:type="dxa"/>
              <w:bottom w:w="80" w:type="dxa"/>
              <w:end w:w="120" w:type="dxa"/>
            </w:tcMar>
          </w:tcPr>
          <w:p>
            <w:r>
              <w:rPr>
                <w:rFonts w:ascii="Calibri" w:hAnsi="Calibri"/>
                <w:color w:val="111827"/>
                <w:sz w:val="18"/>
              </w:rPr>
              <w:t>Brier</w:t>
            </w:r>
          </w:p>
        </w:tc>
        <w:tc>
          <w:tcPr>
            <w:tcW w:type="dxa" w:w="1400"/>
            <w:tcMar>
              <w:top w:w="80" w:type="dxa"/>
              <w:start w:w="120" w:type="dxa"/>
              <w:bottom w:w="80" w:type="dxa"/>
              <w:end w:w="120" w:type="dxa"/>
            </w:tcMar>
          </w:tcPr>
          <w:p>
            <w:r>
              <w:rPr>
                <w:rFonts w:ascii="Calibri" w:hAnsi="Calibri"/>
                <w:color w:val="111827"/>
                <w:sz w:val="18"/>
              </w:rPr>
              <w:t>0.07257</w:t>
            </w:r>
          </w:p>
        </w:tc>
        <w:tc>
          <w:tcPr>
            <w:tcW w:type="dxa" w:w="6360"/>
            <w:tcMar>
              <w:top w:w="80" w:type="dxa"/>
              <w:start w:w="120" w:type="dxa"/>
              <w:bottom w:w="80" w:type="dxa"/>
              <w:end w:w="120" w:type="dxa"/>
            </w:tcMar>
          </w:tcPr>
          <w:p>
            <w:r>
              <w:rPr>
                <w:rFonts w:ascii="Calibri" w:hAnsi="Calibri"/>
                <w:color w:val="111827"/>
                <w:sz w:val="18"/>
              </w:rPr>
              <w:t>Mean squared probability error; lower is better and it directly evaluates probability quality.</w:t>
            </w:r>
          </w:p>
        </w:tc>
      </w:tr>
    </w:tbl>
    <w:p>
      <w:pPr>
        <w:spacing w:before="100" w:after="160" w:line="276" w:lineRule="auto"/>
        <w:ind w:left="173" w:right="115"/>
        <w:pBdr>
          <w:left w:val="single" w:sz="18" w:space="8" w:color="B78316"/>
        </w:pBdr>
        <w:shd w:fill="FFF5DD"/>
      </w:pPr>
      <w:r>
        <w:rPr>
          <w:rFonts w:ascii="Calibri" w:hAnsi="Calibri"/>
          <w:b/>
          <w:color w:val="B78316"/>
        </w:rPr>
        <w:t xml:space="preserve">Critical observation: </w:t>
      </w:r>
      <w:r>
        <w:rPr>
          <w:rFonts w:ascii="Calibri" w:hAnsi="Calibri"/>
          <w:color w:val="111827"/>
        </w:rPr>
        <w:t>At a default 0.50 cutoff, the imbalanced XGBoost model can predict no positive cases. That does not make ROC-AUC or calibrated probability useless; it means 0.50 is an inappropriate operational threshold for this event rate and objective.</w:t>
      </w:r>
    </w:p>
    <w:p>
      <w:pPr>
        <w:pStyle w:val="Heading3"/>
        <w:keepNext/>
      </w:pPr>
      <w:r>
        <w:rPr>
          <w:rFonts w:ascii="Calibri" w:hAnsi="Calibri"/>
          <w:b/>
          <w:color w:val="1F4D78"/>
          <w:sz w:val="24"/>
        </w:rPr>
        <w:t>Why is accuracy misleading?</w:t>
      </w:r>
    </w:p>
    <w:p>
      <w:r>
        <w:rPr>
          <w:rFonts w:ascii="Calibri" w:hAnsi="Calibri"/>
          <w:color w:val="111827"/>
        </w:rPr>
        <w:t>The source event rate is roughly eight percent. A model that predicts every applicant as non-event can appear about 92% accurate while having zero recall for payment difficulty. That is why the project emphasizes ROC-AUC, PR-AUC, Brier score, risk concentration, and policy-specific evaluation.</w:t>
      </w:r>
    </w:p>
    <w:p>
      <w:pPr>
        <w:pStyle w:val="Heading3"/>
        <w:keepNext/>
      </w:pPr>
      <w:r>
        <w:rPr>
          <w:rFonts w:ascii="Calibri" w:hAnsi="Calibri"/>
          <w:b/>
          <w:color w:val="1F4D78"/>
          <w:sz w:val="24"/>
        </w:rPr>
        <w:t>Is 0.6448 good?</w:t>
      </w:r>
    </w:p>
    <w:p>
      <w:r>
        <w:rPr>
          <w:rFonts w:ascii="Calibri" w:hAnsi="Calibri"/>
          <w:color w:val="111827"/>
        </w:rPr>
        <w:t>It is an honest moderate result for a deliberately restricted, form-aligned feature set. It demonstrates signal and an end-to-end methodology, but it is not strong enough to claim real-bank readiness. The stronger research benchmark uses additional historical or unavailable features and should not be presented as the live model's performance.</w:t>
      </w:r>
    </w:p>
    <w:p>
      <w:pPr>
        <w:pStyle w:val="Heading3"/>
        <w:keepNext/>
      </w:pPr>
      <w:r>
        <w:rPr>
          <w:rFonts w:ascii="Calibri" w:hAnsi="Calibri"/>
          <w:b/>
          <w:color w:val="1F4D78"/>
          <w:sz w:val="24"/>
        </w:rPr>
        <w:t>Why did performance drop from the broader research model?</w:t>
      </w:r>
    </w:p>
    <w:p>
      <w:r>
        <w:rPr>
          <w:rFonts w:ascii="Calibri" w:hAnsi="Calibri"/>
          <w:color w:val="111827"/>
        </w:rPr>
        <w:t>The broader 13-field deployable experiment measured about 0.692 ROC-AUC, while a full-feature research benchmark reached about 0.769. Removing household, asset, housing, contract, goods-price, and external-source information reduces signal. The live model accepts that loss to avoid hidden defaults and training-serving mismatch.</w:t>
      </w:r>
    </w:p>
    <w:p>
      <w:r>
        <w:br w:type="page"/>
      </w:r>
    </w:p>
    <w:p>
      <w:pPr>
        <w:pStyle w:val="Heading1"/>
      </w:pPr>
      <w:r>
        <w:t>6. Explainability, fairness, and governance</w:t>
      </w:r>
    </w:p>
    <w:p>
      <w:pPr>
        <w:pStyle w:val="Heading2"/>
      </w:pPr>
      <w:r>
        <w:t>How reason directions work</w:t>
      </w:r>
    </w:p>
    <w:p>
      <w:r>
        <w:rPr>
          <w:rFonts w:ascii="Calibri" w:hAnsi="Calibri"/>
          <w:color w:val="111827"/>
        </w:rPr>
        <w:t>For XGBoost, local tree contributions are computed for the applicant's transformed feature row. One-hot category contributions are grouped back to the form-level feature. The largest absolute contributions are returned as factors that increased or reduced the uncalibrated model score.</w:t>
      </w:r>
    </w:p>
    <w:p>
      <w:pPr>
        <w:spacing w:before="100" w:after="160" w:line="276" w:lineRule="auto"/>
        <w:ind w:left="173" w:right="115"/>
        <w:pBdr>
          <w:left w:val="single" w:sz="18" w:space="8" w:color="9B1C1C"/>
        </w:pBdr>
        <w:shd w:fill="FFF0F0"/>
      </w:pPr>
      <w:r>
        <w:rPr>
          <w:rFonts w:ascii="Calibri" w:hAnsi="Calibri"/>
          <w:b/>
          <w:color w:val="9B1C1C"/>
        </w:rPr>
        <w:t xml:space="preserve">Careful wording: </w:t>
      </w:r>
      <w:r>
        <w:rPr>
          <w:rFonts w:ascii="Calibri" w:hAnsi="Calibri"/>
          <w:color w:val="111827"/>
        </w:rPr>
        <w:t>These are local model contribution directions, not causal advice and not legally sufficient adverse-action reasons. Calibration changes the probability mapping after the base score, so contributions explain the pre-calibration score direction.</w:t>
      </w:r>
    </w:p>
    <w:p>
      <w:pPr>
        <w:pStyle w:val="Heading2"/>
      </w:pPr>
      <w:r>
        <w:t>Fairness discussion</w:t>
      </w:r>
    </w:p>
    <w:p>
      <w:pPr>
        <w:pStyle w:val="ListBullet"/>
      </w:pPr>
      <w:r>
        <w:rPr>
          <w:rFonts w:ascii="Calibri" w:hAnsi="Calibri"/>
          <w:color w:val="111827"/>
        </w:rPr>
        <w:t>The live model excludes explicit identifiers and the anonymized EXT_SOURCE features.</w:t>
      </w:r>
    </w:p>
    <w:p>
      <w:pPr>
        <w:pStyle w:val="ListBullet"/>
      </w:pPr>
      <w:r>
        <w:rPr>
          <w:rFonts w:ascii="Calibri" w:hAnsi="Calibri"/>
          <w:color w:val="111827"/>
        </w:rPr>
        <w:t>Age remains a model input and can be sensitive or restricted depending on jurisdiction; its use would require legal necessity and fairness review.</w:t>
      </w:r>
    </w:p>
    <w:p>
      <w:pPr>
        <w:pStyle w:val="ListBullet"/>
      </w:pPr>
      <w:r>
        <w:rPr>
          <w:rFonts w:ascii="Calibri" w:hAnsi="Calibri"/>
          <w:color w:val="111827"/>
        </w:rPr>
        <w:t>Removing protected attributes does not prove fairness because remaining features can act as proxies.</w:t>
      </w:r>
    </w:p>
    <w:p>
      <w:pPr>
        <w:pStyle w:val="ListBullet"/>
      </w:pPr>
      <w:r>
        <w:rPr>
          <w:rFonts w:ascii="Calibri" w:hAnsi="Calibri"/>
          <w:color w:val="111827"/>
        </w:rPr>
        <w:t>A production process would compare calibration, error rates, ranking, approval outcomes, and adverse impact across legally relevant groups and intersectional segments.</w:t>
      </w:r>
    </w:p>
    <w:p>
      <w:pPr>
        <w:pStyle w:val="ListBullet"/>
      </w:pPr>
      <w:r>
        <w:rPr>
          <w:rFonts w:ascii="Calibri" w:hAnsi="Calibri"/>
          <w:color w:val="111827"/>
        </w:rPr>
        <w:t>The training population differs from any target bank portfolio, so subgroup conclusions cannot be transferred without new outcome data.</w:t>
      </w:r>
    </w:p>
    <w:p>
      <w:pPr>
        <w:pStyle w:val="Heading2"/>
      </w:pPr>
      <w:r>
        <w:t>Minimum governance for a real deployment</w:t>
      </w:r>
    </w:p>
    <w:p>
      <w:pPr>
        <w:pStyle w:val="ListNumber"/>
        <w:numPr>
          <w:ilvl w:val="0"/>
          <w:numId w:val="12"/>
        </w:numPr>
      </w:pPr>
      <w:r>
        <w:rPr>
          <w:rFonts w:ascii="Calibri" w:hAnsi="Calibri"/>
          <w:color w:val="111827"/>
        </w:rPr>
        <w:t>Define ownership: policy owner, model owner, independent validator, and operational approver.</w:t>
      </w:r>
    </w:p>
    <w:p>
      <w:pPr>
        <w:pStyle w:val="ListNumber"/>
        <w:numPr>
          <w:ilvl w:val="0"/>
          <w:numId w:val="12"/>
        </w:numPr>
      </w:pPr>
      <w:r>
        <w:rPr>
          <w:rFonts w:ascii="Calibri" w:hAnsi="Calibri"/>
          <w:color w:val="111827"/>
        </w:rPr>
        <w:t>Version inputs, code, data snapshot, model artifact, calibration, policy, and displayed explanations.</w:t>
      </w:r>
    </w:p>
    <w:p>
      <w:pPr>
        <w:pStyle w:val="ListNumber"/>
        <w:numPr>
          <w:ilvl w:val="0"/>
          <w:numId w:val="12"/>
        </w:numPr>
      </w:pPr>
      <w:r>
        <w:rPr>
          <w:rFonts w:ascii="Calibri" w:hAnsi="Calibri"/>
          <w:color w:val="111827"/>
        </w:rPr>
        <w:t>Validate data quality, calibration, performance, fairness, robustness, and failure modes before release.</w:t>
      </w:r>
    </w:p>
    <w:p>
      <w:pPr>
        <w:pStyle w:val="ListNumber"/>
        <w:numPr>
          <w:ilvl w:val="0"/>
          <w:numId w:val="12"/>
        </w:numPr>
      </w:pPr>
      <w:r>
        <w:rPr>
          <w:rFonts w:ascii="Calibri" w:hAnsi="Calibri"/>
          <w:color w:val="111827"/>
        </w:rPr>
        <w:t>Monitor drift, missingness, score distribution, calibration, outcomes, overrides, and customer-impact metrics.</w:t>
      </w:r>
    </w:p>
    <w:p>
      <w:pPr>
        <w:pStyle w:val="ListNumber"/>
        <w:numPr>
          <w:ilvl w:val="0"/>
          <w:numId w:val="12"/>
        </w:numPr>
      </w:pPr>
      <w:r>
        <w:rPr>
          <w:rFonts w:ascii="Calibri" w:hAnsi="Calibri"/>
          <w:color w:val="111827"/>
        </w:rPr>
        <w:t>Document change thresholds, rollback procedures, appeal paths, and human-review responsibilities.</w:t>
      </w:r>
    </w:p>
    <w:p>
      <w:pPr>
        <w:pStyle w:val="Heading3"/>
        <w:keepNext/>
      </w:pPr>
      <w:r>
        <w:rPr>
          <w:rFonts w:ascii="Calibri" w:hAnsi="Calibri"/>
          <w:b/>
          <w:color w:val="1F4D78"/>
          <w:sz w:val="24"/>
        </w:rPr>
        <w:t>Why not call the readiness score a credit score?</w:t>
      </w:r>
    </w:p>
    <w:p>
      <w:r>
        <w:rPr>
          <w:rFonts w:ascii="Calibri" w:hAnsi="Calibri"/>
          <w:color w:val="111827"/>
        </w:rPr>
        <w:t>A bureau credit score requires verified historical account and repayment information. This score uses only self-declared cash-flow and stability inputs, so calling it a credit score would overstate what the data supports.</w:t>
      </w:r>
    </w:p>
    <w:p>
      <w:r>
        <w:br w:type="page"/>
      </w:r>
    </w:p>
    <w:p>
      <w:pPr>
        <w:pStyle w:val="Heading1"/>
      </w:pPr>
      <w:r>
        <w:t>7. Production and system-design questions</w:t>
      </w:r>
    </w:p>
    <w:p>
      <w:pPr>
        <w:pStyle w:val="Heading2"/>
      </w:pPr>
      <w:r>
        <w:t>Architecture and operations</w:t>
      </w:r>
    </w:p>
    <w:p>
      <w:pPr>
        <w:pStyle w:val="Heading3"/>
        <w:keepNext/>
      </w:pPr>
      <w:r>
        <w:rPr>
          <w:rFonts w:ascii="Calibri" w:hAnsi="Calibri"/>
          <w:b/>
          <w:color w:val="1F4D78"/>
          <w:sz w:val="24"/>
        </w:rPr>
        <w:t>How do Streamlit and FastAPI stay consistent?</w:t>
      </w:r>
    </w:p>
    <w:p>
      <w:r>
        <w:rPr>
          <w:rFonts w:ascii="Calibri" w:hAnsi="Calibri"/>
          <w:color w:val="111827"/>
        </w:rPr>
        <w:t>Both call the same domain components. The UI collects inputs and renders outputs; the API validates a typed request and serializes the same result. Business calculations are not duplicated in the presentation layer.</w:t>
      </w:r>
    </w:p>
    <w:p>
      <w:pPr>
        <w:spacing w:after="140"/>
        <w:ind w:left="259"/>
      </w:pPr>
      <w:r>
        <w:rPr>
          <w:rFonts w:ascii="Calibri" w:hAnsi="Calibri"/>
          <w:b/>
          <w:color w:val="287A4D"/>
        </w:rPr>
        <w:t xml:space="preserve">Evidence to cite: </w:t>
      </w:r>
      <w:r>
        <w:rPr>
          <w:rFonts w:ascii="Calibri" w:hAnsi="Calibri"/>
          <w:i/>
          <w:color w:val="606A78"/>
        </w:rPr>
        <w:t>loan_simulator.py and repayment_stress.py are shared by app.py and api.py.</w:t>
      </w:r>
    </w:p>
    <w:p>
      <w:pPr>
        <w:pStyle w:val="Heading3"/>
        <w:keepNext/>
      </w:pPr>
      <w:r>
        <w:rPr>
          <w:rFonts w:ascii="Calibri" w:hAnsi="Calibri"/>
          <w:b/>
          <w:color w:val="1F4D78"/>
          <w:sz w:val="24"/>
        </w:rPr>
        <w:t>What happens if the model artifact is missing?</w:t>
      </w:r>
    </w:p>
    <w:p>
      <w:r>
        <w:rPr>
          <w:rFonts w:ascii="Calibri" w:hAnsi="Calibri"/>
          <w:color w:val="111827"/>
        </w:rPr>
        <w:t>The deterministic simulator still returns affordability results. The repayment_stress object explicitly reports available=false with an instruction to run the training pipeline. This is graceful degradation rather than a 500 error for the entire application.</w:t>
      </w:r>
    </w:p>
    <w:p>
      <w:pPr>
        <w:pStyle w:val="Heading3"/>
        <w:keepNext/>
      </w:pPr>
      <w:r>
        <w:rPr>
          <w:rFonts w:ascii="Calibri" w:hAnsi="Calibri"/>
          <w:b/>
          <w:color w:val="1F4D78"/>
          <w:sz w:val="24"/>
        </w:rPr>
        <w:t>How are artifacts kept reproducible?</w:t>
      </w:r>
    </w:p>
    <w:p>
      <w:r>
        <w:rPr>
          <w:rFonts w:ascii="Calibri" w:hAnsi="Calibri"/>
          <w:color w:val="111827"/>
        </w:rPr>
        <w:t>Training persists the fitted preprocessor, base model, calibrated model, transformed feature names, split metadata, model parameters, final-test metrics, limitations, artifact version, and creation timestamp. Raw data and generated artifacts remain outside Git.</w:t>
      </w:r>
    </w:p>
    <w:p>
      <w:pPr>
        <w:pStyle w:val="Heading3"/>
        <w:keepNext/>
      </w:pPr>
      <w:r>
        <w:rPr>
          <w:rFonts w:ascii="Calibri" w:hAnsi="Calibri"/>
          <w:b/>
          <w:color w:val="1F4D78"/>
          <w:sz w:val="24"/>
        </w:rPr>
        <w:t>How would you deploy it?</w:t>
      </w:r>
    </w:p>
    <w:p>
      <w:r>
        <w:rPr>
          <w:rFonts w:ascii="Calibri" w:hAnsi="Calibri"/>
          <w:color w:val="111827"/>
        </w:rPr>
        <w:t>Containerize the API, store versioned artifacts in a model registry or immutable object store, inject an artifact version at startup, expose health/readiness separately, add structured logs and tracing, and place Streamlit behind authenticated access or replace it with a dedicated frontend. CI would run tests and build the image; CD would promote an independently validated artifact.</w:t>
      </w:r>
    </w:p>
    <w:p>
      <w:pPr>
        <w:pStyle w:val="Heading3"/>
        <w:keepNext/>
      </w:pPr>
      <w:r>
        <w:rPr>
          <w:rFonts w:ascii="Calibri" w:hAnsi="Calibri"/>
          <w:b/>
          <w:color w:val="1F4D78"/>
          <w:sz w:val="24"/>
        </w:rPr>
        <w:t>How would you scale inference?</w:t>
      </w:r>
    </w:p>
    <w:p>
      <w:r>
        <w:rPr>
          <w:rFonts w:ascii="Calibri" w:hAnsi="Calibri"/>
          <w:color w:val="111827"/>
        </w:rPr>
        <w:t>Load artifacts once per process, batch or vectorize transformations, run multiple stateless API workers, cache only policy configuration rather than applicant responses, and measure p50/p95 latency. XGBoost inference is lightweight here; the main production concerns are data validation, security, auditability, and reliable artifact loading.</w:t>
      </w:r>
    </w:p>
    <w:p>
      <w:pPr>
        <w:pStyle w:val="Heading3"/>
        <w:keepNext/>
      </w:pPr>
      <w:r>
        <w:rPr>
          <w:rFonts w:ascii="Calibri" w:hAnsi="Calibri"/>
          <w:b/>
          <w:color w:val="1F4D78"/>
          <w:sz w:val="24"/>
        </w:rPr>
        <w:t>How would you monitor the model without immediate labels?</w:t>
      </w:r>
    </w:p>
    <w:p>
      <w:r>
        <w:rPr>
          <w:rFonts w:ascii="Calibri" w:hAnsi="Calibri"/>
          <w:color w:val="111827"/>
        </w:rPr>
        <w:t>Monitor feature distributions, missingness, category novelty, probability distribution, stress-band mix, and population stability first. When outcomes mature, add calibration curves, ROC/PR, Brier score, top-decile capture, subgroup performance, and vintage analysis.</w:t>
      </w:r>
    </w:p>
    <w:p>
      <w:pPr>
        <w:pStyle w:val="Heading3"/>
        <w:keepNext/>
      </w:pPr>
      <w:r>
        <w:rPr>
          <w:rFonts w:ascii="Calibri" w:hAnsi="Calibri"/>
          <w:b/>
          <w:color w:val="1F4D78"/>
          <w:sz w:val="24"/>
        </w:rPr>
        <w:t>What security controls are missing?</w:t>
      </w:r>
    </w:p>
    <w:p>
      <w:r>
        <w:rPr>
          <w:rFonts w:ascii="Calibri" w:hAnsi="Calibri"/>
          <w:color w:val="111827"/>
        </w:rPr>
        <w:t>Authentication and authorization, TLS termination, secrets management, encryption at rest, PII minimization, request logging controls, retention rules, rate limiting, audit trails, dependency scanning, and abuse/fraud controls. The portfolio version intentionally does not claim these are implemented.</w:t>
      </w:r>
    </w:p>
    <w:p>
      <w:pPr>
        <w:pStyle w:val="Heading2"/>
      </w:pPr>
      <w:r>
        <w:t>Validation evidence</w:t>
      </w:r>
    </w:p>
    <w:p>
      <w:pPr>
        <w:spacing w:before="60" w:after="160" w:line="240" w:lineRule="auto"/>
        <w:ind w:left="259" w:right="259"/>
        <w:shd w:fill="EEF2F7"/>
      </w:pPr>
      <w:r>
        <w:rPr>
          <w:rFonts w:ascii="Consolas" w:hAnsi="Consolas"/>
          <w:color w:val="0B2545"/>
          <w:sz w:val="18"/>
        </w:rPr>
        <w:t>python -m compileall app.py api.py src tests</w:t>
      </w:r>
      <w:r>
        <w:br/>
      </w:r>
      <w:r>
        <w:rPr>
          <w:rFonts w:ascii="Consolas" w:hAnsi="Consolas"/>
          <w:color w:val="0B2545"/>
          <w:sz w:val="18"/>
        </w:rPr>
        <w:t>python -m pytest -q                 # 30 passed</w:t>
      </w:r>
      <w:r>
        <w:br/>
      </w:r>
      <w:r>
        <w:rPr>
          <w:rFonts w:ascii="Consolas" w:hAnsi="Consolas"/>
          <w:color w:val="0B2545"/>
          <w:sz w:val="18"/>
        </w:rPr>
        <w:t>python -m pip check                 # no broken requirements</w:t>
      </w:r>
      <w:r>
        <w:br/>
      </w:r>
      <w:r>
        <w:rPr>
          <w:rFonts w:ascii="Consolas" w:hAnsi="Consolas"/>
          <w:color w:val="0B2545"/>
          <w:sz w:val="18"/>
        </w:rPr>
        <w:t>python scripts/validate_notebooks.py</w:t>
      </w:r>
      <w:r>
        <w:br/>
      </w:r>
      <w:r>
        <w:rPr>
          <w:rFonts w:ascii="Consolas" w:hAnsi="Consolas"/>
          <w:color w:val="0B2545"/>
          <w:sz w:val="18"/>
        </w:rPr>
        <w:t>python -m src.pipeline.stress_training_pipeline</w:t>
      </w:r>
    </w:p>
    <w:p>
      <w:pPr>
        <w:pStyle w:val="Heading1"/>
      </w:pPr>
      <w:r>
        <w:t>8. High-probability interview question bank</w:t>
      </w:r>
    </w:p>
    <w:p>
      <w:pPr>
        <w:pStyle w:val="Heading2"/>
      </w:pPr>
      <w:r>
        <w:t>Core interview answers</w:t>
      </w:r>
    </w:p>
    <w:p>
      <w:pPr>
        <w:pStyle w:val="Heading3"/>
        <w:keepNext/>
      </w:pPr>
      <w:r>
        <w:rPr>
          <w:rFonts w:ascii="Calibri" w:hAnsi="Calibri"/>
          <w:b/>
          <w:color w:val="1F4D78"/>
          <w:sz w:val="24"/>
        </w:rPr>
        <w:t>Why did you build a hybrid system?</w:t>
      </w:r>
    </w:p>
    <w:p>
      <w:r>
        <w:rPr>
          <w:rFonts w:ascii="Calibri" w:hAnsi="Calibri"/>
          <w:color w:val="111827"/>
        </w:rPr>
        <w:t>The user needed transparent eligibility and repayment guidance, while the portfolio needed a valid ML component. A hybrid design assigns each mechanism to the question it can answer: deterministic policy for affordability and calibrated ML for historical outcome comparison.</w:t>
      </w:r>
    </w:p>
    <w:p>
      <w:pPr>
        <w:pStyle w:val="Heading3"/>
        <w:keepNext/>
      </w:pPr>
      <w:r>
        <w:rPr>
          <w:rFonts w:ascii="Calibri" w:hAnsi="Calibri"/>
          <w:b/>
          <w:color w:val="1F4D78"/>
          <w:sz w:val="24"/>
        </w:rPr>
        <w:t>What was your hardest design decision?</w:t>
      </w:r>
    </w:p>
    <w:p>
      <w:r>
        <w:rPr>
          <w:rFonts w:ascii="Calibri" w:hAnsi="Calibri"/>
          <w:color w:val="111827"/>
        </w:rPr>
        <w:t>Refusing to reuse the stronger 13-field model in the simplified form. It would have required hidden defaults for fields the user never entered. I accepted lower measured performance to maintain a truthful inference contract.</w:t>
      </w:r>
    </w:p>
    <w:p>
      <w:pPr>
        <w:pStyle w:val="Heading3"/>
        <w:keepNext/>
      </w:pPr>
      <w:r>
        <w:rPr>
          <w:rFonts w:ascii="Calibri" w:hAnsi="Calibri"/>
          <w:b/>
          <w:color w:val="1F4D78"/>
          <w:sz w:val="24"/>
        </w:rPr>
        <w:t>What is data leakage in this project?</w:t>
      </w:r>
    </w:p>
    <w:p>
      <w:r>
        <w:rPr>
          <w:rFonts w:ascii="Calibri" w:hAnsi="Calibri"/>
          <w:color w:val="111827"/>
        </w:rPr>
        <w:t>Leakage would include fitting preprocessing on validation/test data, selecting models or calibration with the final test, using TARGET-derived features, or allowing unavailable historical variables into live inference. The pipeline fits transformations inside folds and separates training, calibration, and final test.</w:t>
      </w:r>
    </w:p>
    <w:p>
      <w:pPr>
        <w:pStyle w:val="Heading3"/>
        <w:keepNext/>
      </w:pPr>
      <w:r>
        <w:rPr>
          <w:rFonts w:ascii="Calibri" w:hAnsi="Calibri"/>
          <w:b/>
          <w:color w:val="1F4D78"/>
          <w:sz w:val="24"/>
        </w:rPr>
        <w:t>Why XGBoost?</w:t>
      </w:r>
    </w:p>
    <w:p>
      <w:r>
        <w:rPr>
          <w:rFonts w:ascii="Calibri" w:hAnsi="Calibri"/>
          <w:color w:val="111827"/>
        </w:rPr>
        <w:t>It captured non-linear interactions in ratios, amount, age, stability, and category effects better than the logistic baseline in training-only OOF evaluation. It was selected by measured ROC-AUC, not assumed in advance.</w:t>
      </w:r>
    </w:p>
    <w:p>
      <w:pPr>
        <w:pStyle w:val="Heading3"/>
        <w:keepNext/>
      </w:pPr>
      <w:r>
        <w:rPr>
          <w:rFonts w:ascii="Calibri" w:hAnsi="Calibri"/>
          <w:b/>
          <w:color w:val="1F4D78"/>
          <w:sz w:val="24"/>
        </w:rPr>
        <w:t>Why keep Logistic Regression?</w:t>
      </w:r>
    </w:p>
    <w:p>
      <w:r>
        <w:rPr>
          <w:rFonts w:ascii="Calibri" w:hAnsi="Calibri"/>
          <w:color w:val="111827"/>
        </w:rPr>
        <w:t>It provides a fast, interpretable baseline and a sanity check. If the complex model barely beats it, the complexity may not be justified.</w:t>
      </w:r>
    </w:p>
    <w:p>
      <w:pPr>
        <w:pStyle w:val="Heading3"/>
        <w:keepNext/>
      </w:pPr>
      <w:r>
        <w:rPr>
          <w:rFonts w:ascii="Calibri" w:hAnsi="Calibri"/>
          <w:b/>
          <w:color w:val="1F4D78"/>
          <w:sz w:val="24"/>
        </w:rPr>
        <w:t>How would you choose a lending threshold?</w:t>
      </w:r>
    </w:p>
    <w:p>
      <w:r>
        <w:rPr>
          <w:rFonts w:ascii="Calibri" w:hAnsi="Calibri"/>
          <w:color w:val="111827"/>
        </w:rPr>
        <w:t>I would not choose one from ROC-AUC alone. I would define business costs, approval constraints, review capacity, loss assumptions, fairness constraints, and calibration requirements, then optimize on a policy-development partition and validate once on new outcomes.</w:t>
      </w:r>
    </w:p>
    <w:p>
      <w:pPr>
        <w:pStyle w:val="Heading3"/>
        <w:keepNext/>
      </w:pPr>
      <w:r>
        <w:rPr>
          <w:rFonts w:ascii="Calibri" w:hAnsi="Calibri"/>
          <w:b/>
          <w:color w:val="1F4D78"/>
          <w:sz w:val="24"/>
        </w:rPr>
        <w:t>How do you calculate expected loss?</w:t>
      </w:r>
    </w:p>
    <w:p>
      <w:r>
        <w:rPr>
          <w:rFonts w:ascii="Calibri" w:hAnsi="Calibri"/>
          <w:color w:val="111827"/>
        </w:rPr>
        <w:t>The preserved research track demonstrates PD x LGD x EAD using illustrative LGD and requested credit as EAD. The current simulator does not present expected loss as a live bank quantity because verified exposure, collateral, recoveries, and institution-specific LGD are absent.</w:t>
      </w:r>
    </w:p>
    <w:p>
      <w:pPr>
        <w:pStyle w:val="Heading3"/>
        <w:keepNext/>
      </w:pPr>
      <w:r>
        <w:rPr>
          <w:rFonts w:ascii="Calibri" w:hAnsi="Calibri"/>
          <w:b/>
          <w:color w:val="1F4D78"/>
          <w:sz w:val="24"/>
        </w:rPr>
        <w:t>What would you improve with more time?</w:t>
      </w:r>
    </w:p>
    <w:p>
      <w:r>
        <w:rPr>
          <w:rFonts w:ascii="Calibri" w:hAnsi="Calibri"/>
          <w:color w:val="111827"/>
        </w:rPr>
        <w:t>Collect verified current-portfolio outcomes; align income definitions; add debt and bureau features through consented sources; perform temporal and out-of-time validation; tune with nested CV; add fairness and stress tests; build monitoring; and validate policy with domain experts.</w:t>
      </w:r>
    </w:p>
    <w:p>
      <w:pPr>
        <w:pStyle w:val="Heading3"/>
        <w:keepNext/>
      </w:pPr>
      <w:r>
        <w:rPr>
          <w:rFonts w:ascii="Calibri" w:hAnsi="Calibri"/>
          <w:b/>
          <w:color w:val="1F4D78"/>
          <w:sz w:val="24"/>
        </w:rPr>
        <w:t>How would you add a what-if screen?</w:t>
      </w:r>
    </w:p>
    <w:p>
      <w:r>
        <w:rPr>
          <w:rFonts w:ascii="Calibri" w:hAnsi="Calibri"/>
          <w:color w:val="111827"/>
        </w:rPr>
        <w:t>Re-run the deterministic and ML feature builders for controlled changes such as amount, term, income, expenses, or debt. Show the change in EMI capacity and stress estimate, but label model changes as associations rather than guaranteed improvement.</w:t>
      </w:r>
    </w:p>
    <w:p>
      <w:pPr>
        <w:pStyle w:val="Heading3"/>
        <w:keepNext/>
      </w:pPr>
      <w:r>
        <w:rPr>
          <w:rFonts w:ascii="Calibri" w:hAnsi="Calibri"/>
          <w:b/>
          <w:color w:val="1F4D78"/>
          <w:sz w:val="24"/>
        </w:rPr>
        <w:t>What makes the system auditable?</w:t>
      </w:r>
    </w:p>
    <w:p>
      <w:r>
        <w:rPr>
          <w:rFonts w:ascii="Calibri" w:hAnsi="Calibri"/>
          <w:color w:val="111827"/>
        </w:rPr>
        <w:t>Displayed policy checks, explicit formulas, versioned assumptions, a fixed feature contract, persisted split/model/calibration metadata, local contribution directions, typed API schemas, and tests that cover both success and missing-artifact behavior.</w:t>
      </w:r>
    </w:p>
    <w:p>
      <w:pPr>
        <w:pStyle w:val="Heading3"/>
        <w:keepNext/>
      </w:pPr>
      <w:r>
        <w:rPr>
          <w:rFonts w:ascii="Calibri" w:hAnsi="Calibri"/>
          <w:b/>
          <w:color w:val="1F4D78"/>
          <w:sz w:val="24"/>
        </w:rPr>
        <w:t>How is this relevant to a company like Amex?</w:t>
      </w:r>
    </w:p>
    <w:p>
      <w:r>
        <w:rPr>
          <w:rFonts w:ascii="Calibri" w:hAnsi="Calibri"/>
          <w:color w:val="111827"/>
        </w:rPr>
        <w:t>It demonstrates risk segmentation, calibrated probabilities, customer-facing explanation, affordability, decision-system boundaries, API delivery, and model governance thinking. I would avoid claiming it reproduces Amex underwriting or proprietary bureau/transaction models.</w:t>
      </w:r>
    </w:p>
    <w:p>
      <w:pPr>
        <w:pStyle w:val="Heading3"/>
        <w:keepNext/>
      </w:pPr>
      <w:r>
        <w:rPr>
          <w:rFonts w:ascii="Calibri" w:hAnsi="Calibri"/>
          <w:b/>
          <w:color w:val="1F4D78"/>
          <w:sz w:val="24"/>
        </w:rPr>
        <w:t>What did you learn?</w:t>
      </w:r>
    </w:p>
    <w:p>
      <w:r>
        <w:rPr>
          <w:rFonts w:ascii="Calibri" w:hAnsi="Calibri"/>
          <w:color w:val="111827"/>
        </w:rPr>
        <w:t>A deployable ML system is mostly about contracts and boundaries: what the target means, which features exist at decision time, which component owns each decision, how probabilities are calibrated, and how limitations are communicated.</w:t>
      </w:r>
    </w:p>
    <w:p>
      <w:pPr>
        <w:pStyle w:val="Heading1"/>
      </w:pPr>
      <w:r>
        <w:t>9. Five-minute live demo script</w:t>
      </w:r>
    </w:p>
    <w:p>
      <w:pPr>
        <w:spacing w:before="100" w:after="160" w:line="276" w:lineRule="auto"/>
        <w:ind w:left="173" w:right="115"/>
        <w:pBdr>
          <w:left w:val="single" w:sz="18" w:space="8" w:color="2E74B5"/>
        </w:pBdr>
        <w:shd w:fill="EDF4FB"/>
      </w:pPr>
      <w:r>
        <w:rPr>
          <w:rFonts w:ascii="Calibri" w:hAnsi="Calibri"/>
          <w:b/>
          <w:color w:val="2E74B5"/>
        </w:rPr>
        <w:t xml:space="preserve">Goal: </w:t>
      </w:r>
      <w:r>
        <w:rPr>
          <w:rFonts w:ascii="Calibri" w:hAnsi="Calibri"/>
          <w:color w:val="111827"/>
        </w:rPr>
        <w:t>Show one coherent decision journey. Do not click every expander or narrate every metric.</w:t>
      </w:r>
    </w:p>
    <w:p>
      <w:pPr>
        <w:pStyle w:val="ListNumber"/>
        <w:numPr>
          <w:ilvl w:val="0"/>
          <w:numId w:val="13"/>
        </w:numPr>
      </w:pPr>
      <w:r>
        <w:rPr>
          <w:rFonts w:ascii="Calibri" w:hAnsi="Calibri"/>
          <w:color w:val="111827"/>
        </w:rPr>
        <w:t>Opening (30 seconds): Explain that eligibility is deterministic and the ML panel is a separate historical stress estimate.</w:t>
      </w:r>
    </w:p>
    <w:p>
      <w:pPr>
        <w:pStyle w:val="ListNumber"/>
        <w:numPr>
          <w:ilvl w:val="0"/>
          <w:numId w:val="13"/>
        </w:numPr>
      </w:pPr>
      <w:r>
        <w:rPr>
          <w:rFonts w:ascii="Calibri" w:hAnsi="Calibri"/>
          <w:color w:val="111827"/>
        </w:rPr>
        <w:t>Inputs (45 seconds): Select Personal Loan; age 34; Salaried; five years stability; income 100,000; expenses 30,000; debt 5,000; amount 300,000; term 36 months.</w:t>
      </w:r>
    </w:p>
    <w:p>
      <w:pPr>
        <w:pStyle w:val="ListNumber"/>
        <w:numPr>
          <w:ilvl w:val="0"/>
          <w:numId w:val="13"/>
        </w:numPr>
      </w:pPr>
      <w:r>
        <w:rPr>
          <w:rFonts w:ascii="Calibri" w:hAnsi="Calibri"/>
          <w:color w:val="111827"/>
        </w:rPr>
        <w:t>Applicant result (60 seconds): Show eligibility, maximum loan, maximum EMI, readiness score, post-EMI surplus, recommendations, and plan comparison.</w:t>
      </w:r>
    </w:p>
    <w:p>
      <w:pPr>
        <w:pStyle w:val="ListNumber"/>
        <w:numPr>
          <w:ilvl w:val="0"/>
          <w:numId w:val="13"/>
        </w:numPr>
      </w:pPr>
      <w:r>
        <w:rPr>
          <w:rFonts w:ascii="Calibri" w:hAnsi="Calibri"/>
          <w:color w:val="111827"/>
        </w:rPr>
        <w:t>ML result (45 seconds): Show calibrated probability, stress band, and top local reason directions. Explicitly state that it does not change eligibility.</w:t>
      </w:r>
    </w:p>
    <w:p>
      <w:pPr>
        <w:pStyle w:val="ListNumber"/>
        <w:numPr>
          <w:ilvl w:val="0"/>
          <w:numId w:val="13"/>
        </w:numPr>
      </w:pPr>
      <w:r>
        <w:rPr>
          <w:rFonts w:ascii="Calibri" w:hAnsi="Calibri"/>
          <w:color w:val="111827"/>
        </w:rPr>
        <w:t>Decision Insights (60 seconds): Show DSR, expense ratio, each policy check, score breakdown, and final-test model-card metrics.</w:t>
      </w:r>
    </w:p>
    <w:p>
      <w:pPr>
        <w:pStyle w:val="ListNumber"/>
        <w:numPr>
          <w:ilvl w:val="0"/>
          <w:numId w:val="13"/>
        </w:numPr>
      </w:pPr>
      <w:r>
        <w:rPr>
          <w:rFonts w:ascii="Calibri" w:hAnsi="Calibri"/>
          <w:color w:val="111827"/>
        </w:rPr>
        <w:t>What-if narrative (30 seconds): Change amount or existing debt and explain which outputs are deterministic versus model-driven.</w:t>
      </w:r>
    </w:p>
    <w:p>
      <w:pPr>
        <w:pStyle w:val="ListNumber"/>
        <w:numPr>
          <w:ilvl w:val="0"/>
          <w:numId w:val="13"/>
        </w:numPr>
      </w:pPr>
      <w:r>
        <w:rPr>
          <w:rFonts w:ascii="Calibri" w:hAnsi="Calibri"/>
          <w:color w:val="111827"/>
        </w:rPr>
        <w:t>Close (30 seconds): State the limitations and the next production step: verified bank data, governance, out-of-time validation, and monitoring.</w:t>
      </w:r>
    </w:p>
    <w:p>
      <w:pPr>
        <w:pStyle w:val="Heading2"/>
      </w:pPr>
      <w:r>
        <w:t>Demo recovery plan</w:t>
      </w:r>
    </w:p>
    <w:p>
      <w:pPr>
        <w:pStyle w:val="ListBullet"/>
      </w:pPr>
      <w:r>
        <w:rPr>
          <w:rFonts w:ascii="Calibri" w:hAnsi="Calibri"/>
          <w:color w:val="111827"/>
        </w:rPr>
        <w:t>If the ML artifact is missing: use the explicit unavailable state to discuss graceful degradation, then run the dedicated training command later.</w:t>
      </w:r>
    </w:p>
    <w:p>
      <w:pPr>
        <w:pStyle w:val="ListBullet"/>
      </w:pPr>
      <w:r>
        <w:rPr>
          <w:rFonts w:ascii="Calibri" w:hAnsi="Calibri"/>
          <w:color w:val="111827"/>
        </w:rPr>
        <w:t>If Streamlit does not open automatically: navigate to http://localhost:8501.</w:t>
      </w:r>
    </w:p>
    <w:p>
      <w:pPr>
        <w:pStyle w:val="ListBullet"/>
      </w:pPr>
      <w:r>
        <w:rPr>
          <w:rFonts w:ascii="Calibri" w:hAnsi="Calibri"/>
          <w:color w:val="111827"/>
        </w:rPr>
        <w:t>If a scenario fails: read the displayed validation message; do not hide it. Validation is part of the system demonstration.</w:t>
      </w:r>
    </w:p>
    <w:p>
      <w:pPr>
        <w:pStyle w:val="ListBullet"/>
      </w:pPr>
      <w:r>
        <w:rPr>
          <w:rFonts w:ascii="Calibri" w:hAnsi="Calibri"/>
          <w:color w:val="111827"/>
        </w:rPr>
        <w:t>If asked for API proof: start uvicorn and open http://localhost:8000/docs, then call POST /simulate.</w:t>
      </w:r>
    </w:p>
    <w:p>
      <w:pPr>
        <w:pStyle w:val="Heading2"/>
      </w:pPr>
      <w:r>
        <w:t>Commands to rehearse</w:t>
      </w:r>
    </w:p>
    <w:p>
      <w:pPr>
        <w:spacing w:before="60" w:after="160" w:line="240" w:lineRule="auto"/>
        <w:ind w:left="259" w:right="259"/>
        <w:shd w:fill="EEF2F7"/>
      </w:pPr>
      <w:r>
        <w:rPr>
          <w:rFonts w:ascii="Consolas" w:hAnsi="Consolas"/>
          <w:color w:val="0B2545"/>
          <w:sz w:val="18"/>
        </w:rPr>
        <w:t>streamlit run app.py</w:t>
      </w:r>
      <w:r>
        <w:br/>
      </w:r>
      <w:r>
        <w:rPr>
          <w:rFonts w:ascii="Consolas" w:hAnsi="Consolas"/>
          <w:color w:val="0B2545"/>
          <w:sz w:val="18"/>
        </w:rPr>
        <w:t>uvicorn api:app --reload</w:t>
      </w:r>
      <w:r>
        <w:br/>
      </w:r>
      <w:r>
        <w:rPr>
          <w:rFonts w:ascii="Consolas" w:hAnsi="Consolas"/>
          <w:color w:val="0B2545"/>
          <w:sz w:val="18"/>
        </w:rPr>
        <w:t>python -m src.pipeline.stress_training_pipeline</w:t>
      </w:r>
      <w:r>
        <w:br/>
      </w:r>
      <w:r>
        <w:rPr>
          <w:rFonts w:ascii="Consolas" w:hAnsi="Consolas"/>
          <w:color w:val="0B2545"/>
          <w:sz w:val="18"/>
        </w:rPr>
        <w:t>python -m pytest -q</w:t>
      </w:r>
    </w:p>
    <w:p>
      <w:pPr>
        <w:pStyle w:val="Heading2"/>
      </w:pPr>
      <w:r>
        <w:t>Thirty-second pre-demo checklist</w:t>
      </w:r>
    </w:p>
    <w:p>
      <w:pPr>
        <w:pStyle w:val="ListBullet"/>
      </w:pPr>
      <w:r>
        <w:rPr>
          <w:rFonts w:ascii="Calibri" w:hAnsi="Calibri"/>
          <w:color w:val="111827"/>
        </w:rPr>
        <w:t>Confirm the repayment-stress artifact is available before opening the application.</w:t>
      </w:r>
    </w:p>
    <w:p>
      <w:pPr>
        <w:pStyle w:val="ListBullet"/>
      </w:pPr>
      <w:r>
        <w:rPr>
          <w:rFonts w:ascii="Calibri" w:hAnsi="Calibri"/>
          <w:color w:val="111827"/>
        </w:rPr>
        <w:t>Keep the default applicant values written down so you can recover quickly after an accidental edit.</w:t>
      </w:r>
    </w:p>
    <w:p>
      <w:pPr>
        <w:pStyle w:val="ListBullet"/>
      </w:pPr>
      <w:r>
        <w:rPr>
          <w:rFonts w:ascii="Calibri" w:hAnsi="Calibri"/>
          <w:color w:val="111827"/>
        </w:rPr>
        <w:t>Open Streamlit and FastAPI documentation in separate browser tabs before screen sharing.</w:t>
      </w:r>
    </w:p>
    <w:p>
      <w:pPr>
        <w:pStyle w:val="ListBullet"/>
      </w:pPr>
      <w:r>
        <w:rPr>
          <w:rFonts w:ascii="Calibri" w:hAnsi="Calibri"/>
          <w:color w:val="111827"/>
        </w:rPr>
        <w:t>Clear unrelated terminals, notifications, local paths, and any personal data from the screen.</w:t>
      </w:r>
    </w:p>
    <w:p>
      <w:pPr>
        <w:pStyle w:val="ListBullet"/>
      </w:pPr>
      <w:r>
        <w:rPr>
          <w:rFonts w:ascii="Calibri" w:hAnsi="Calibri"/>
          <w:color w:val="111827"/>
        </w:rPr>
        <w:t>Practice one sentence that explains why the ML probability cannot override deterministic eligibility.</w:t>
      </w:r>
    </w:p>
    <w:p>
      <w:pPr>
        <w:spacing w:before="100" w:after="160" w:line="276" w:lineRule="auto"/>
        <w:ind w:left="173" w:right="115"/>
        <w:pBdr>
          <w:left w:val="single" w:sz="18" w:space="8" w:color="B78316"/>
        </w:pBdr>
        <w:shd w:fill="FFF5DD"/>
      </w:pPr>
      <w:r>
        <w:rPr>
          <w:rFonts w:ascii="Calibri" w:hAnsi="Calibri"/>
          <w:b/>
          <w:color w:val="B78316"/>
        </w:rPr>
        <w:t xml:space="preserve">Fallback line: </w:t>
      </w:r>
      <w:r>
        <w:rPr>
          <w:rFonts w:ascii="Calibri" w:hAnsi="Calibri"/>
          <w:color w:val="111827"/>
        </w:rPr>
        <w:t>The unavailable-model state is a designed failure mode: affordability remains usable, and the API states exactly how to restore the optional ML signal.</w:t>
      </w:r>
    </w:p>
    <w:p>
      <w:r>
        <w:br w:type="page"/>
      </w:r>
    </w:p>
    <w:p>
      <w:pPr>
        <w:pStyle w:val="Heading1"/>
      </w:pPr>
      <w:r>
        <w:t>10. Behavioural and trade-off stories</w:t>
      </w:r>
    </w:p>
    <w:p>
      <w:pPr>
        <w:pStyle w:val="Heading2"/>
      </w:pPr>
      <w:r>
        <w:t>STAR story: correcting the product direction</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blHeader w:val="true"/>
        </w:trPr>
        <w:tc>
          <w:tcPr>
            <w:tcW w:type="dxa" w:w="2700"/>
            <w:shd w:fill="E8EEF5"/>
            <w:vAlign w:val="center"/>
            <w:tcMar>
              <w:top w:w="80" w:type="dxa"/>
              <w:start w:w="120" w:type="dxa"/>
              <w:bottom w:w="80" w:type="dxa"/>
              <w:end w:w="120" w:type="dxa"/>
            </w:tcMar>
          </w:tcPr>
          <w:p>
            <w:pPr>
              <w:spacing w:after="0"/>
            </w:pPr>
            <w:r>
              <w:rPr>
                <w:rFonts w:ascii="Calibri" w:hAnsi="Calibri"/>
                <w:b/>
                <w:color w:val="0B2545"/>
              </w:rPr>
              <w:t>Situation</w:t>
            </w:r>
          </w:p>
        </w:tc>
        <w:tc>
          <w:tcPr>
            <w:tcW w:type="dxa" w:w="6660"/>
            <w:tcMar>
              <w:top w:w="80" w:type="dxa"/>
              <w:start w:w="120" w:type="dxa"/>
              <w:bottom w:w="80" w:type="dxa"/>
              <w:end w:w="120" w:type="dxa"/>
            </w:tcMar>
          </w:tcPr>
          <w:p>
            <w:pPr>
              <w:spacing w:after="0"/>
            </w:pPr>
            <w:r>
              <w:rPr>
                <w:rFonts w:ascii="Calibri" w:hAnsi="Calibri"/>
                <w:color w:val="111827"/>
              </w:rPr>
              <w:t>The project began as a historical approve/manual-review/reject classifier, but the desired experience became a simple consumer loan simulator.</w:t>
            </w:r>
          </w:p>
        </w:tc>
      </w:tr>
      <w:tr>
        <w:trPr>
          <w:cantSplit/>
        </w:trPr>
        <w:tc>
          <w:tcPr>
            <w:tcW w:type="dxa" w:w="2700"/>
            <w:shd w:fill="E8EEF5"/>
            <w:vAlign w:val="center"/>
            <w:tcMar>
              <w:top w:w="80" w:type="dxa"/>
              <w:start w:w="120" w:type="dxa"/>
              <w:bottom w:w="80" w:type="dxa"/>
              <w:end w:w="120" w:type="dxa"/>
            </w:tcMar>
          </w:tcPr>
          <w:p>
            <w:pPr>
              <w:spacing w:after="0"/>
            </w:pPr>
            <w:r>
              <w:rPr>
                <w:rFonts w:ascii="Calibri" w:hAnsi="Calibri"/>
                <w:b/>
                <w:color w:val="0B2545"/>
              </w:rPr>
              <w:t>Task</w:t>
            </w:r>
          </w:p>
        </w:tc>
        <w:tc>
          <w:tcPr>
            <w:tcW w:type="dxa" w:w="6660"/>
            <w:tcMar>
              <w:top w:w="80" w:type="dxa"/>
              <w:start w:w="120" w:type="dxa"/>
              <w:bottom w:w="80" w:type="dxa"/>
              <w:end w:w="120" w:type="dxa"/>
            </w:tcMar>
          </w:tcPr>
          <w:p>
            <w:pPr>
              <w:spacing w:after="0"/>
            </w:pPr>
            <w:r>
              <w:rPr>
                <w:rFonts w:ascii="Calibri" w:hAnsi="Calibri"/>
                <w:color w:val="111827"/>
              </w:rPr>
              <w:t>Preserve genuine ML value without misleading users or forcing unavailable historical fields into the form.</w:t>
            </w:r>
          </w:p>
        </w:tc>
      </w:tr>
      <w:tr>
        <w:trPr>
          <w:cantSplit/>
        </w:trPr>
        <w:tc>
          <w:tcPr>
            <w:tcW w:type="dxa" w:w="2700"/>
            <w:shd w:fill="E8EEF5"/>
            <w:vAlign w:val="center"/>
            <w:tcMar>
              <w:top w:w="80" w:type="dxa"/>
              <w:start w:w="120" w:type="dxa"/>
              <w:bottom w:w="80" w:type="dxa"/>
              <w:end w:w="120" w:type="dxa"/>
            </w:tcMar>
          </w:tcPr>
          <w:p>
            <w:pPr>
              <w:spacing w:after="0"/>
            </w:pPr>
            <w:r>
              <w:rPr>
                <w:rFonts w:ascii="Calibri" w:hAnsi="Calibri"/>
                <w:b/>
                <w:color w:val="0B2545"/>
              </w:rPr>
              <w:t>Action</w:t>
            </w:r>
          </w:p>
        </w:tc>
        <w:tc>
          <w:tcPr>
            <w:tcW w:type="dxa" w:w="6660"/>
            <w:tcMar>
              <w:top w:w="80" w:type="dxa"/>
              <w:start w:w="120" w:type="dxa"/>
              <w:bottom w:w="80" w:type="dxa"/>
              <w:end w:w="120" w:type="dxa"/>
            </w:tcMar>
          </w:tcPr>
          <w:p>
            <w:pPr>
              <w:spacing w:after="0"/>
            </w:pPr>
            <w:r>
              <w:rPr>
                <w:rFonts w:ascii="Calibri" w:hAnsi="Calibri"/>
                <w:color w:val="111827"/>
              </w:rPr>
              <w:t>Separated deterministic affordability from ML risk, retrained a form-aligned model, added calibration and reason directions, rewrote API/UI boundaries, and validated the full dataset and application.</w:t>
            </w:r>
          </w:p>
        </w:tc>
      </w:tr>
      <w:tr>
        <w:trPr>
          <w:cantSplit/>
        </w:trPr>
        <w:tc>
          <w:tcPr>
            <w:tcW w:type="dxa" w:w="2700"/>
            <w:shd w:fill="E8EEF5"/>
            <w:vAlign w:val="center"/>
            <w:tcMar>
              <w:top w:w="80" w:type="dxa"/>
              <w:start w:w="120" w:type="dxa"/>
              <w:bottom w:w="80" w:type="dxa"/>
              <w:end w:w="120" w:type="dxa"/>
            </w:tcMar>
          </w:tcPr>
          <w:p>
            <w:pPr>
              <w:spacing w:after="0"/>
            </w:pPr>
            <w:r>
              <w:rPr>
                <w:rFonts w:ascii="Calibri" w:hAnsi="Calibri"/>
                <w:b/>
                <w:color w:val="0B2545"/>
              </w:rPr>
              <w:t>Result</w:t>
            </w:r>
          </w:p>
        </w:tc>
        <w:tc>
          <w:tcPr>
            <w:tcW w:type="dxa" w:w="6660"/>
            <w:tcMar>
              <w:top w:w="80" w:type="dxa"/>
              <w:start w:w="120" w:type="dxa"/>
              <w:bottom w:w="80" w:type="dxa"/>
              <w:end w:w="120" w:type="dxa"/>
            </w:tcMar>
          </w:tcPr>
          <w:p>
            <w:pPr>
              <w:spacing w:after="0"/>
            </w:pPr>
            <w:r>
              <w:rPr>
                <w:rFonts w:ascii="Calibri" w:hAnsi="Calibri"/>
                <w:color w:val="111827"/>
              </w:rPr>
              <w:t>A coherent hybrid system with 30 passing tests, full-data artifacts, an honest 0.6448 ROC-AUC, and a dashboard that explains both affordability and historical stress.</w:t>
            </w:r>
          </w:p>
        </w:tc>
      </w:tr>
      <w:tr>
        <w:trPr>
          <w:cantSplit/>
        </w:trPr>
        <w:tc>
          <w:tcPr>
            <w:tcW w:type="dxa" w:w="2700"/>
            <w:shd w:fill="E8EEF5"/>
            <w:vAlign w:val="center"/>
            <w:tcMar>
              <w:top w:w="80" w:type="dxa"/>
              <w:start w:w="120" w:type="dxa"/>
              <w:bottom w:w="80" w:type="dxa"/>
              <w:end w:w="120" w:type="dxa"/>
            </w:tcMar>
          </w:tcPr>
          <w:p>
            <w:pPr>
              <w:spacing w:after="0"/>
            </w:pPr>
            <w:r>
              <w:rPr>
                <w:rFonts w:ascii="Calibri" w:hAnsi="Calibri"/>
                <w:b/>
                <w:color w:val="0B2545"/>
              </w:rPr>
              <w:t>Reflection</w:t>
            </w:r>
          </w:p>
        </w:tc>
        <w:tc>
          <w:tcPr>
            <w:tcW w:type="dxa" w:w="6660"/>
            <w:tcMar>
              <w:top w:w="80" w:type="dxa"/>
              <w:start w:w="120" w:type="dxa"/>
              <w:bottom w:w="80" w:type="dxa"/>
              <w:end w:w="120" w:type="dxa"/>
            </w:tcMar>
          </w:tcPr>
          <w:p>
            <w:pPr>
              <w:spacing w:after="0"/>
            </w:pPr>
            <w:r>
              <w:rPr>
                <w:rFonts w:ascii="Calibri" w:hAnsi="Calibri"/>
                <w:color w:val="111827"/>
              </w:rPr>
              <w:t>The strongest engineering choice was accepting lower model performance to remove hidden assumptions and improve training-serving consistency.</w:t>
            </w:r>
          </w:p>
        </w:tc>
      </w:tr>
    </w:tbl>
    <w:p>
      <w:pPr>
        <w:spacing w:after="0"/>
      </w:pPr>
    </w:p>
    <w:p>
      <w:pPr>
        <w:pStyle w:val="Heading2"/>
      </w:pPr>
      <w:r>
        <w:t>Trade-offs to volunteer</w:t>
      </w:r>
    </w:p>
    <w:p>
      <w:pPr>
        <w:pStyle w:val="ListBullet"/>
      </w:pPr>
      <w:r>
        <w:rPr>
          <w:rFonts w:ascii="Calibri" w:hAnsi="Calibri"/>
          <w:color w:val="111827"/>
        </w:rPr>
        <w:t>Performance versus reproducibility: fewer live features reduced AUC but improved contract integrity.</w:t>
      </w:r>
    </w:p>
    <w:p>
      <w:pPr>
        <w:pStyle w:val="ListBullet"/>
      </w:pPr>
      <w:r>
        <w:rPr>
          <w:rFonts w:ascii="Calibri" w:hAnsi="Calibri"/>
          <w:color w:val="111827"/>
        </w:rPr>
        <w:t>Flexibility versus calibration stability: sigmoid is less flexible than isotonic but more stable and easier to reason about.</w:t>
      </w:r>
    </w:p>
    <w:p>
      <w:pPr>
        <w:pStyle w:val="ListBullet"/>
      </w:pPr>
      <w:r>
        <w:rPr>
          <w:rFonts w:ascii="Calibri" w:hAnsi="Calibri"/>
          <w:color w:val="111827"/>
        </w:rPr>
        <w:t>Product simplicity versus underwriting depth: a short form improves usability but cannot replace verified bureau, identity, and obligation data.</w:t>
      </w:r>
    </w:p>
    <w:p>
      <w:pPr>
        <w:pStyle w:val="ListBullet"/>
      </w:pPr>
      <w:r>
        <w:rPr>
          <w:rFonts w:ascii="Calibri" w:hAnsi="Calibri"/>
          <w:color w:val="111827"/>
        </w:rPr>
        <w:t>Portfolio demonstration versus regulated deployment: the system shows architecture and methodology, not legal or operational readiness.</w:t>
      </w:r>
    </w:p>
    <w:p>
      <w:pPr>
        <w:pStyle w:val="Heading2"/>
      </w:pPr>
      <w:r>
        <w:t>Phrases that signal senior judgment</w:t>
      </w:r>
    </w:p>
    <w:p>
      <w:pPr>
        <w:pStyle w:val="ListBullet"/>
      </w:pPr>
      <w:r>
        <w:rPr>
          <w:rFonts w:ascii="Calibri" w:hAnsi="Calibri"/>
          <w:color w:val="111827"/>
        </w:rPr>
        <w:t>The model estimates association under the training distribution; the policy decides what action is acceptable.</w:t>
      </w:r>
    </w:p>
    <w:p>
      <w:pPr>
        <w:pStyle w:val="ListBullet"/>
      </w:pPr>
      <w:r>
        <w:rPr>
          <w:rFonts w:ascii="Calibri" w:hAnsi="Calibri"/>
          <w:color w:val="111827"/>
        </w:rPr>
        <w:t>A feature is not deployable merely because it exists in the training table.</w:t>
      </w:r>
    </w:p>
    <w:p>
      <w:pPr>
        <w:pStyle w:val="ListBullet"/>
      </w:pPr>
      <w:r>
        <w:rPr>
          <w:rFonts w:ascii="Calibri" w:hAnsi="Calibri"/>
          <w:color w:val="111827"/>
        </w:rPr>
        <w:t>Calibration quality and decision utility are different from ranking performance.</w:t>
      </w:r>
    </w:p>
    <w:p>
      <w:pPr>
        <w:pStyle w:val="ListBullet"/>
      </w:pPr>
      <w:r>
        <w:rPr>
          <w:rFonts w:ascii="Calibri" w:hAnsi="Calibri"/>
          <w:color w:val="111827"/>
        </w:rPr>
        <w:t>Removing protected attributes is not the same as proving fairness.</w:t>
      </w:r>
    </w:p>
    <w:p>
      <w:pPr>
        <w:pStyle w:val="ListBullet"/>
      </w:pPr>
      <w:r>
        <w:rPr>
          <w:rFonts w:ascii="Calibri" w:hAnsi="Calibri"/>
          <w:color w:val="111827"/>
        </w:rPr>
        <w:t>I would rather report a weaker honest metric than a stronger metric produced by an inference contract I cannot reproduce.</w:t>
      </w:r>
    </w:p>
    <w:p>
      <w:r>
        <w:br w:type="page"/>
      </w:r>
    </w:p>
    <w:p>
      <w:pPr>
        <w:pStyle w:val="Heading1"/>
      </w:pPr>
      <w:r>
        <w:t>11. Whiteboard and follow-up drills</w:t>
      </w:r>
    </w:p>
    <w:p>
      <w:pPr>
        <w:pStyle w:val="Heading2"/>
      </w:pPr>
      <w:r>
        <w:t>Design the production version</w:t>
      </w:r>
    </w:p>
    <w:p>
      <w:r>
        <w:rPr>
          <w:rFonts w:ascii="Calibri" w:hAnsi="Calibri"/>
          <w:color w:val="111827"/>
        </w:rPr>
        <w:t>Draw client -&gt; API gateway -&gt; validation -&gt; policy service + feature service -&gt; model service -&gt; explanation -&gt; decision record. Add registry, monitoring, human review, and outcome feedback.</w:t>
      </w:r>
    </w:p>
    <w:p>
      <w:pPr>
        <w:spacing w:after="140"/>
      </w:pPr>
      <w:r>
        <w:rPr>
          <w:rFonts w:ascii="Calibri" w:hAnsi="Calibri"/>
          <w:color w:val="606A78"/>
        </w:rPr>
        <w:t>Sketch notes: ________________________________________________________________</w:t>
      </w:r>
    </w:p>
    <w:p>
      <w:pPr>
        <w:pStyle w:val="Heading2"/>
      </w:pPr>
      <w:r>
        <w:t>Design an out-of-time validation</w:t>
      </w:r>
    </w:p>
    <w:p>
      <w:r>
        <w:rPr>
          <w:rFonts w:ascii="Calibri" w:hAnsi="Calibri"/>
          <w:color w:val="111827"/>
        </w:rPr>
        <w:t>Split by application date, fit on older vintages, calibrate on a later window, and evaluate after the outcome horizon matures. Compare drift, calibration, and subgroup behavior.</w:t>
      </w:r>
    </w:p>
    <w:p>
      <w:pPr>
        <w:spacing w:after="140"/>
      </w:pPr>
      <w:r>
        <w:rPr>
          <w:rFonts w:ascii="Calibri" w:hAnsi="Calibri"/>
          <w:color w:val="606A78"/>
        </w:rPr>
        <w:t>Sketch notes: ________________________________________________________________</w:t>
      </w:r>
    </w:p>
    <w:p>
      <w:pPr>
        <w:pStyle w:val="Heading2"/>
      </w:pPr>
      <w:r>
        <w:t>Choose a threshold</w:t>
      </w:r>
    </w:p>
    <w:p>
      <w:r>
        <w:rPr>
          <w:rFonts w:ascii="Calibri" w:hAnsi="Calibri"/>
          <w:color w:val="111827"/>
        </w:rPr>
        <w:t>Start with a cost matrix and review capacity. Use calibrated PD, exposure, LGD, margin, and constraints. Optimize on policy data; validate on a later untouched set.</w:t>
      </w:r>
    </w:p>
    <w:p>
      <w:pPr>
        <w:spacing w:after="140"/>
      </w:pPr>
      <w:r>
        <w:rPr>
          <w:rFonts w:ascii="Calibri" w:hAnsi="Calibri"/>
          <w:color w:val="606A78"/>
        </w:rPr>
        <w:t>Sketch notes: ________________________________________________________________</w:t>
      </w:r>
    </w:p>
    <w:p>
      <w:pPr>
        <w:pStyle w:val="Heading2"/>
      </w:pPr>
      <w:r>
        <w:t>Handle missing income</w:t>
      </w:r>
    </w:p>
    <w:p>
      <w:r>
        <w:rPr>
          <w:rFonts w:ascii="Calibri" w:hAnsi="Calibri"/>
          <w:color w:val="111827"/>
        </w:rPr>
        <w:t>Fail required-input validation for a lending simulation or route to a documented manual path. Do not silently median-impute a business-critical field supplied by the applicant.</w:t>
      </w:r>
    </w:p>
    <w:p>
      <w:pPr>
        <w:spacing w:after="140"/>
      </w:pPr>
      <w:r>
        <w:rPr>
          <w:rFonts w:ascii="Calibri" w:hAnsi="Calibri"/>
          <w:color w:val="606A78"/>
        </w:rPr>
        <w:t>Sketch notes: ________________________________________________________________</w:t>
      </w:r>
    </w:p>
    <w:p>
      <w:pPr>
        <w:pStyle w:val="Heading2"/>
      </w:pPr>
      <w:r>
        <w:t>Add transaction data</w:t>
      </w:r>
    </w:p>
    <w:p>
      <w:r>
        <w:rPr>
          <w:rFonts w:ascii="Calibri" w:hAnsi="Calibri"/>
          <w:color w:val="111827"/>
        </w:rPr>
        <w:t>Define aggregation windows available at decision time, avoid future leakage, validate consent and retention, create stability/trend features, and test incremental value over the application baseline.</w:t>
      </w:r>
    </w:p>
    <w:p>
      <w:pPr>
        <w:spacing w:after="140"/>
      </w:pPr>
      <w:r>
        <w:rPr>
          <w:rFonts w:ascii="Calibri" w:hAnsi="Calibri"/>
          <w:color w:val="606A78"/>
        </w:rPr>
        <w:t>Sketch notes: ________________________________________________________________</w:t>
      </w:r>
    </w:p>
    <w:p>
      <w:pPr>
        <w:pStyle w:val="Heading2"/>
      </w:pPr>
      <w:r>
        <w:t>Red-flag answers to avoid</w:t>
      </w:r>
    </w:p>
    <w:p>
      <w:pPr>
        <w:pStyle w:val="ListBullet"/>
      </w:pPr>
      <w:r>
        <w:rPr>
          <w:rFonts w:ascii="Calibri" w:hAnsi="Calibri"/>
          <w:color w:val="111827"/>
        </w:rPr>
        <w:t>The model is 92% accurate, therefore it is strong.</w:t>
      </w:r>
    </w:p>
    <w:p>
      <w:pPr>
        <w:pStyle w:val="ListBullet"/>
      </w:pPr>
      <w:r>
        <w:rPr>
          <w:rFonts w:ascii="Calibri" w:hAnsi="Calibri"/>
          <w:color w:val="111827"/>
        </w:rPr>
        <w:t>The readiness score is the applicant's credit score.</w:t>
      </w:r>
    </w:p>
    <w:p>
      <w:pPr>
        <w:pStyle w:val="ListBullet"/>
      </w:pPr>
      <w:r>
        <w:rPr>
          <w:rFonts w:ascii="Calibri" w:hAnsi="Calibri"/>
          <w:color w:val="111827"/>
        </w:rPr>
        <w:t>AUC 0.64 means the probability is 64% accurate.</w:t>
      </w:r>
    </w:p>
    <w:p>
      <w:pPr>
        <w:pStyle w:val="ListBullet"/>
      </w:pPr>
      <w:r>
        <w:rPr>
          <w:rFonts w:ascii="Calibri" w:hAnsi="Calibri"/>
          <w:color w:val="111827"/>
        </w:rPr>
        <w:t>I removed gender, so the model is fair.</w:t>
      </w:r>
    </w:p>
    <w:p>
      <w:pPr>
        <w:pStyle w:val="ListBullet"/>
      </w:pPr>
      <w:r>
        <w:rPr>
          <w:rFonts w:ascii="Calibri" w:hAnsi="Calibri"/>
          <w:color w:val="111827"/>
        </w:rPr>
        <w:t>SHAP or contribution values prove why the applicant will default.</w:t>
      </w:r>
    </w:p>
    <w:p>
      <w:pPr>
        <w:pStyle w:val="ListBullet"/>
      </w:pPr>
      <w:r>
        <w:rPr>
          <w:rFonts w:ascii="Calibri" w:hAnsi="Calibri"/>
          <w:color w:val="111827"/>
        </w:rPr>
        <w:t>The final test was used to keep improving the model until the score looked good.</w:t>
      </w:r>
    </w:p>
    <w:p>
      <w:pPr>
        <w:pStyle w:val="ListBullet"/>
      </w:pPr>
      <w:r>
        <w:rPr>
          <w:rFonts w:ascii="Calibri" w:hAnsi="Calibri"/>
          <w:color w:val="111827"/>
        </w:rPr>
        <w:t>The simulator is production-ready for a bank because the API works locally.</w:t>
      </w:r>
    </w:p>
    <w:p>
      <w:r>
        <w:br w:type="page"/>
      </w:r>
    </w:p>
    <w:p>
      <w:pPr>
        <w:pStyle w:val="Heading1"/>
      </w:pPr>
      <w:r>
        <w:t>12. Fast glossary</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blHeader w:val="true"/>
        </w:trPr>
        <w:tc>
          <w:tcPr>
            <w:tcW w:type="dxa" w:w="2700"/>
            <w:shd w:fill="E8EEF5"/>
            <w:vAlign w:val="center"/>
            <w:tcMar>
              <w:top w:w="80" w:type="dxa"/>
              <w:start w:w="120" w:type="dxa"/>
              <w:bottom w:w="80" w:type="dxa"/>
              <w:end w:w="120" w:type="dxa"/>
            </w:tcMar>
          </w:tcPr>
          <w:p>
            <w:pPr>
              <w:spacing w:after="0"/>
            </w:pPr>
            <w:r>
              <w:rPr>
                <w:rFonts w:ascii="Calibri" w:hAnsi="Calibri"/>
                <w:b/>
                <w:color w:val="0B2545"/>
              </w:rPr>
              <w:t>PD</w:t>
            </w:r>
          </w:p>
        </w:tc>
        <w:tc>
          <w:tcPr>
            <w:tcW w:type="dxa" w:w="6660"/>
            <w:tcMar>
              <w:top w:w="80" w:type="dxa"/>
              <w:start w:w="120" w:type="dxa"/>
              <w:bottom w:w="80" w:type="dxa"/>
              <w:end w:w="120" w:type="dxa"/>
            </w:tcMar>
          </w:tcPr>
          <w:p>
            <w:pPr>
              <w:spacing w:after="0"/>
            </w:pPr>
            <w:r>
              <w:rPr>
                <w:rFonts w:ascii="Calibri" w:hAnsi="Calibri"/>
                <w:color w:val="111827"/>
              </w:rPr>
              <w:t>Probability of payment difficulty/default under a defined target and horizon.</w:t>
            </w:r>
          </w:p>
        </w:tc>
      </w:tr>
      <w:tr>
        <w:trPr>
          <w:cantSplit/>
        </w:trPr>
        <w:tc>
          <w:tcPr>
            <w:tcW w:type="dxa" w:w="2700"/>
            <w:shd w:fill="E8EEF5"/>
            <w:vAlign w:val="center"/>
            <w:tcMar>
              <w:top w:w="80" w:type="dxa"/>
              <w:start w:w="120" w:type="dxa"/>
              <w:bottom w:w="80" w:type="dxa"/>
              <w:end w:w="120" w:type="dxa"/>
            </w:tcMar>
          </w:tcPr>
          <w:p>
            <w:pPr>
              <w:spacing w:after="0"/>
            </w:pPr>
            <w:r>
              <w:rPr>
                <w:rFonts w:ascii="Calibri" w:hAnsi="Calibri"/>
                <w:b/>
                <w:color w:val="0B2545"/>
              </w:rPr>
              <w:t>EAD</w:t>
            </w:r>
          </w:p>
        </w:tc>
        <w:tc>
          <w:tcPr>
            <w:tcW w:type="dxa" w:w="6660"/>
            <w:tcMar>
              <w:top w:w="80" w:type="dxa"/>
              <w:start w:w="120" w:type="dxa"/>
              <w:bottom w:w="80" w:type="dxa"/>
              <w:end w:w="120" w:type="dxa"/>
            </w:tcMar>
          </w:tcPr>
          <w:p>
            <w:pPr>
              <w:spacing w:after="0"/>
            </w:pPr>
            <w:r>
              <w:rPr>
                <w:rFonts w:ascii="Calibri" w:hAnsi="Calibri"/>
                <w:color w:val="111827"/>
              </w:rPr>
              <w:t>Exposure at default; not always equal to requested principal.</w:t>
            </w:r>
          </w:p>
        </w:tc>
      </w:tr>
      <w:tr>
        <w:trPr>
          <w:cantSplit/>
        </w:trPr>
        <w:tc>
          <w:tcPr>
            <w:tcW w:type="dxa" w:w="2700"/>
            <w:shd w:fill="E8EEF5"/>
            <w:vAlign w:val="center"/>
            <w:tcMar>
              <w:top w:w="80" w:type="dxa"/>
              <w:start w:w="120" w:type="dxa"/>
              <w:bottom w:w="80" w:type="dxa"/>
              <w:end w:w="120" w:type="dxa"/>
            </w:tcMar>
          </w:tcPr>
          <w:p>
            <w:pPr>
              <w:spacing w:after="0"/>
            </w:pPr>
            <w:r>
              <w:rPr>
                <w:rFonts w:ascii="Calibri" w:hAnsi="Calibri"/>
                <w:b/>
                <w:color w:val="0B2545"/>
              </w:rPr>
              <w:t>LGD</w:t>
            </w:r>
          </w:p>
        </w:tc>
        <w:tc>
          <w:tcPr>
            <w:tcW w:type="dxa" w:w="6660"/>
            <w:tcMar>
              <w:top w:w="80" w:type="dxa"/>
              <w:start w:w="120" w:type="dxa"/>
              <w:bottom w:w="80" w:type="dxa"/>
              <w:end w:w="120" w:type="dxa"/>
            </w:tcMar>
          </w:tcPr>
          <w:p>
            <w:pPr>
              <w:spacing w:after="0"/>
            </w:pPr>
            <w:r>
              <w:rPr>
                <w:rFonts w:ascii="Calibri" w:hAnsi="Calibri"/>
                <w:color w:val="111827"/>
              </w:rPr>
              <w:t>Loss given default after recoveries and collateral.</w:t>
            </w:r>
          </w:p>
        </w:tc>
      </w:tr>
      <w:tr>
        <w:trPr>
          <w:cantSplit/>
        </w:trPr>
        <w:tc>
          <w:tcPr>
            <w:tcW w:type="dxa" w:w="2700"/>
            <w:shd w:fill="E8EEF5"/>
            <w:vAlign w:val="center"/>
            <w:tcMar>
              <w:top w:w="80" w:type="dxa"/>
              <w:start w:w="120" w:type="dxa"/>
              <w:bottom w:w="80" w:type="dxa"/>
              <w:end w:w="120" w:type="dxa"/>
            </w:tcMar>
          </w:tcPr>
          <w:p>
            <w:pPr>
              <w:spacing w:after="0"/>
            </w:pPr>
            <w:r>
              <w:rPr>
                <w:rFonts w:ascii="Calibri" w:hAnsi="Calibri"/>
                <w:b/>
                <w:color w:val="0B2545"/>
              </w:rPr>
              <w:t>Expected loss</w:t>
            </w:r>
          </w:p>
        </w:tc>
        <w:tc>
          <w:tcPr>
            <w:tcW w:type="dxa" w:w="6660"/>
            <w:tcMar>
              <w:top w:w="80" w:type="dxa"/>
              <w:start w:w="120" w:type="dxa"/>
              <w:bottom w:w="80" w:type="dxa"/>
              <w:end w:w="120" w:type="dxa"/>
            </w:tcMar>
          </w:tcPr>
          <w:p>
            <w:pPr>
              <w:spacing w:after="0"/>
            </w:pPr>
            <w:r>
              <w:rPr>
                <w:rFonts w:ascii="Calibri" w:hAnsi="Calibri"/>
                <w:color w:val="111827"/>
              </w:rPr>
              <w:t>PD x LGD x EAD, subject to calibrated inputs and institutional definitions.</w:t>
            </w:r>
          </w:p>
        </w:tc>
      </w:tr>
      <w:tr>
        <w:trPr>
          <w:cantSplit/>
        </w:trPr>
        <w:tc>
          <w:tcPr>
            <w:tcW w:type="dxa" w:w="2700"/>
            <w:shd w:fill="E8EEF5"/>
            <w:vAlign w:val="center"/>
            <w:tcMar>
              <w:top w:w="80" w:type="dxa"/>
              <w:start w:w="120" w:type="dxa"/>
              <w:bottom w:w="80" w:type="dxa"/>
              <w:end w:w="120" w:type="dxa"/>
            </w:tcMar>
          </w:tcPr>
          <w:p>
            <w:pPr>
              <w:spacing w:after="0"/>
            </w:pPr>
            <w:r>
              <w:rPr>
                <w:rFonts w:ascii="Calibri" w:hAnsi="Calibri"/>
                <w:b/>
                <w:color w:val="0B2545"/>
              </w:rPr>
              <w:t>ROC-AUC</w:t>
            </w:r>
          </w:p>
        </w:tc>
        <w:tc>
          <w:tcPr>
            <w:tcW w:type="dxa" w:w="6660"/>
            <w:tcMar>
              <w:top w:w="80" w:type="dxa"/>
              <w:start w:w="120" w:type="dxa"/>
              <w:bottom w:w="80" w:type="dxa"/>
              <w:end w:w="120" w:type="dxa"/>
            </w:tcMar>
          </w:tcPr>
          <w:p>
            <w:pPr>
              <w:spacing w:after="0"/>
            </w:pPr>
            <w:r>
              <w:rPr>
                <w:rFonts w:ascii="Calibri" w:hAnsi="Calibri"/>
                <w:color w:val="111827"/>
              </w:rPr>
              <w:t>Probability a random event case ranks above a random non-event case.</w:t>
            </w:r>
          </w:p>
        </w:tc>
      </w:tr>
      <w:tr>
        <w:trPr>
          <w:cantSplit/>
        </w:trPr>
        <w:tc>
          <w:tcPr>
            <w:tcW w:type="dxa" w:w="2700"/>
            <w:shd w:fill="E8EEF5"/>
            <w:vAlign w:val="center"/>
            <w:tcMar>
              <w:top w:w="80" w:type="dxa"/>
              <w:start w:w="120" w:type="dxa"/>
              <w:bottom w:w="80" w:type="dxa"/>
              <w:end w:w="120" w:type="dxa"/>
            </w:tcMar>
          </w:tcPr>
          <w:p>
            <w:pPr>
              <w:spacing w:after="0"/>
            </w:pPr>
            <w:r>
              <w:rPr>
                <w:rFonts w:ascii="Calibri" w:hAnsi="Calibri"/>
                <w:b/>
                <w:color w:val="0B2545"/>
              </w:rPr>
              <w:t>PR-AUC</w:t>
            </w:r>
          </w:p>
        </w:tc>
        <w:tc>
          <w:tcPr>
            <w:tcW w:type="dxa" w:w="6660"/>
            <w:tcMar>
              <w:top w:w="80" w:type="dxa"/>
              <w:start w:w="120" w:type="dxa"/>
              <w:bottom w:w="80" w:type="dxa"/>
              <w:end w:w="120" w:type="dxa"/>
            </w:tcMar>
          </w:tcPr>
          <w:p>
            <w:pPr>
              <w:spacing w:after="0"/>
            </w:pPr>
            <w:r>
              <w:rPr>
                <w:rFonts w:ascii="Calibri" w:hAnsi="Calibri"/>
                <w:color w:val="111827"/>
              </w:rPr>
              <w:t>Precision-recall summary focused on the positive class; useful under imbalance.</w:t>
            </w:r>
          </w:p>
        </w:tc>
      </w:tr>
      <w:tr>
        <w:trPr>
          <w:cantSplit/>
        </w:trPr>
        <w:tc>
          <w:tcPr>
            <w:tcW w:type="dxa" w:w="2700"/>
            <w:shd w:fill="E8EEF5"/>
            <w:vAlign w:val="center"/>
            <w:tcMar>
              <w:top w:w="80" w:type="dxa"/>
              <w:start w:w="120" w:type="dxa"/>
              <w:bottom w:w="80" w:type="dxa"/>
              <w:end w:w="120" w:type="dxa"/>
            </w:tcMar>
          </w:tcPr>
          <w:p>
            <w:pPr>
              <w:spacing w:after="0"/>
            </w:pPr>
            <w:r>
              <w:rPr>
                <w:rFonts w:ascii="Calibri" w:hAnsi="Calibri"/>
                <w:b/>
                <w:color w:val="0B2545"/>
              </w:rPr>
              <w:t>Brier score</w:t>
            </w:r>
          </w:p>
        </w:tc>
        <w:tc>
          <w:tcPr>
            <w:tcW w:type="dxa" w:w="6660"/>
            <w:tcMar>
              <w:top w:w="80" w:type="dxa"/>
              <w:start w:w="120" w:type="dxa"/>
              <w:bottom w:w="80" w:type="dxa"/>
              <w:end w:w="120" w:type="dxa"/>
            </w:tcMar>
          </w:tcPr>
          <w:p>
            <w:pPr>
              <w:spacing w:after="0"/>
            </w:pPr>
            <w:r>
              <w:rPr>
                <w:rFonts w:ascii="Calibri" w:hAnsi="Calibri"/>
                <w:color w:val="111827"/>
              </w:rPr>
              <w:t>Mean squared difference between predicted probability and observed outcome.</w:t>
            </w:r>
          </w:p>
        </w:tc>
      </w:tr>
      <w:tr>
        <w:trPr>
          <w:cantSplit/>
        </w:trPr>
        <w:tc>
          <w:tcPr>
            <w:tcW w:type="dxa" w:w="2700"/>
            <w:shd w:fill="E8EEF5"/>
            <w:vAlign w:val="center"/>
            <w:tcMar>
              <w:top w:w="80" w:type="dxa"/>
              <w:start w:w="120" w:type="dxa"/>
              <w:bottom w:w="80" w:type="dxa"/>
              <w:end w:w="120" w:type="dxa"/>
            </w:tcMar>
          </w:tcPr>
          <w:p>
            <w:pPr>
              <w:spacing w:after="0"/>
            </w:pPr>
            <w:r>
              <w:rPr>
                <w:rFonts w:ascii="Calibri" w:hAnsi="Calibri"/>
                <w:b/>
                <w:color w:val="0B2545"/>
              </w:rPr>
              <w:t>Calibration</w:t>
            </w:r>
          </w:p>
        </w:tc>
        <w:tc>
          <w:tcPr>
            <w:tcW w:type="dxa" w:w="6660"/>
            <w:tcMar>
              <w:top w:w="80" w:type="dxa"/>
              <w:start w:w="120" w:type="dxa"/>
              <w:bottom w:w="80" w:type="dxa"/>
              <w:end w:w="120" w:type="dxa"/>
            </w:tcMar>
          </w:tcPr>
          <w:p>
            <w:pPr>
              <w:spacing w:after="0"/>
            </w:pPr>
            <w:r>
              <w:rPr>
                <w:rFonts w:ascii="Calibri" w:hAnsi="Calibri"/>
                <w:color w:val="111827"/>
              </w:rPr>
              <w:t>Agreement between predicted probabilities and observed event frequencies.</w:t>
            </w:r>
          </w:p>
        </w:tc>
      </w:tr>
      <w:tr>
        <w:trPr>
          <w:cantSplit/>
        </w:trPr>
        <w:tc>
          <w:tcPr>
            <w:tcW w:type="dxa" w:w="2700"/>
            <w:shd w:fill="E8EEF5"/>
            <w:vAlign w:val="center"/>
            <w:tcMar>
              <w:top w:w="80" w:type="dxa"/>
              <w:start w:w="120" w:type="dxa"/>
              <w:bottom w:w="80" w:type="dxa"/>
              <w:end w:w="120" w:type="dxa"/>
            </w:tcMar>
          </w:tcPr>
          <w:p>
            <w:pPr>
              <w:spacing w:after="0"/>
            </w:pPr>
            <w:r>
              <w:rPr>
                <w:rFonts w:ascii="Calibri" w:hAnsi="Calibri"/>
                <w:b/>
                <w:color w:val="0B2545"/>
              </w:rPr>
              <w:t>DSR</w:t>
            </w:r>
          </w:p>
        </w:tc>
        <w:tc>
          <w:tcPr>
            <w:tcW w:type="dxa" w:w="6660"/>
            <w:tcMar>
              <w:top w:w="80" w:type="dxa"/>
              <w:start w:w="120" w:type="dxa"/>
              <w:bottom w:w="80" w:type="dxa"/>
              <w:end w:w="120" w:type="dxa"/>
            </w:tcMar>
          </w:tcPr>
          <w:p>
            <w:pPr>
              <w:spacing w:after="0"/>
            </w:pPr>
            <w:r>
              <w:rPr>
                <w:rFonts w:ascii="Calibri" w:hAnsi="Calibri"/>
                <w:color w:val="111827"/>
              </w:rPr>
              <w:t>Debt-service ratio: scheduled debt payments divided by income.</w:t>
            </w:r>
          </w:p>
        </w:tc>
      </w:tr>
      <w:tr>
        <w:trPr>
          <w:cantSplit/>
        </w:trPr>
        <w:tc>
          <w:tcPr>
            <w:tcW w:type="dxa" w:w="2700"/>
            <w:shd w:fill="E8EEF5"/>
            <w:vAlign w:val="center"/>
            <w:tcMar>
              <w:top w:w="80" w:type="dxa"/>
              <w:start w:w="120" w:type="dxa"/>
              <w:bottom w:w="80" w:type="dxa"/>
              <w:end w:w="120" w:type="dxa"/>
            </w:tcMar>
          </w:tcPr>
          <w:p>
            <w:pPr>
              <w:spacing w:after="0"/>
            </w:pPr>
            <w:r>
              <w:rPr>
                <w:rFonts w:ascii="Calibri" w:hAnsi="Calibri"/>
                <w:b/>
                <w:color w:val="0B2545"/>
              </w:rPr>
              <w:t>Data leakage</w:t>
            </w:r>
          </w:p>
        </w:tc>
        <w:tc>
          <w:tcPr>
            <w:tcW w:type="dxa" w:w="6660"/>
            <w:tcMar>
              <w:top w:w="80" w:type="dxa"/>
              <w:start w:w="120" w:type="dxa"/>
              <w:bottom w:w="80" w:type="dxa"/>
              <w:end w:w="120" w:type="dxa"/>
            </w:tcMar>
          </w:tcPr>
          <w:p>
            <w:pPr>
              <w:spacing w:after="0"/>
            </w:pPr>
            <w:r>
              <w:rPr>
                <w:rFonts w:ascii="Calibri" w:hAnsi="Calibri"/>
                <w:color w:val="111827"/>
              </w:rPr>
              <w:t>Information or fitting behavior that gives training an unavailable view of validation, test, or future outcomes.</w:t>
            </w:r>
          </w:p>
        </w:tc>
      </w:tr>
      <w:tr>
        <w:trPr>
          <w:cantSplit/>
        </w:trPr>
        <w:tc>
          <w:tcPr>
            <w:tcW w:type="dxa" w:w="2700"/>
            <w:shd w:fill="E8EEF5"/>
            <w:vAlign w:val="center"/>
            <w:tcMar>
              <w:top w:w="80" w:type="dxa"/>
              <w:start w:w="120" w:type="dxa"/>
              <w:bottom w:w="80" w:type="dxa"/>
              <w:end w:w="120" w:type="dxa"/>
            </w:tcMar>
          </w:tcPr>
          <w:p>
            <w:pPr>
              <w:spacing w:after="0"/>
            </w:pPr>
            <w:r>
              <w:rPr>
                <w:rFonts w:ascii="Calibri" w:hAnsi="Calibri"/>
                <w:b/>
                <w:color w:val="0B2545"/>
              </w:rPr>
              <w:t>Training-serving skew</w:t>
            </w:r>
          </w:p>
        </w:tc>
        <w:tc>
          <w:tcPr>
            <w:tcW w:type="dxa" w:w="6660"/>
            <w:tcMar>
              <w:top w:w="80" w:type="dxa"/>
              <w:start w:w="120" w:type="dxa"/>
              <w:bottom w:w="80" w:type="dxa"/>
              <w:end w:w="120" w:type="dxa"/>
            </w:tcMar>
          </w:tcPr>
          <w:p>
            <w:pPr>
              <w:spacing w:after="0"/>
            </w:pPr>
            <w:r>
              <w:rPr>
                <w:rFonts w:ascii="Calibri" w:hAnsi="Calibri"/>
                <w:color w:val="111827"/>
              </w:rPr>
              <w:t>A mismatch between how features are defined or populated during training and live inference.</w:t>
            </w:r>
          </w:p>
        </w:tc>
      </w:tr>
      <w:tr>
        <w:trPr>
          <w:cantSplit/>
        </w:trPr>
        <w:tc>
          <w:tcPr>
            <w:tcW w:type="dxa" w:w="2700"/>
            <w:shd w:fill="E8EEF5"/>
            <w:vAlign w:val="center"/>
            <w:tcMar>
              <w:top w:w="80" w:type="dxa"/>
              <w:start w:w="120" w:type="dxa"/>
              <w:bottom w:w="80" w:type="dxa"/>
              <w:end w:w="120" w:type="dxa"/>
            </w:tcMar>
          </w:tcPr>
          <w:p>
            <w:pPr>
              <w:spacing w:after="0"/>
            </w:pPr>
            <w:r>
              <w:rPr>
                <w:rFonts w:ascii="Calibri" w:hAnsi="Calibri"/>
                <w:b/>
                <w:color w:val="0B2545"/>
              </w:rPr>
              <w:t>Out-of-time test</w:t>
            </w:r>
          </w:p>
        </w:tc>
        <w:tc>
          <w:tcPr>
            <w:tcW w:type="dxa" w:w="6660"/>
            <w:tcMar>
              <w:top w:w="80" w:type="dxa"/>
              <w:start w:w="120" w:type="dxa"/>
              <w:bottom w:w="80" w:type="dxa"/>
              <w:end w:w="120" w:type="dxa"/>
            </w:tcMar>
          </w:tcPr>
          <w:p>
            <w:pPr>
              <w:spacing w:after="0"/>
            </w:pPr>
            <w:r>
              <w:rPr>
                <w:rFonts w:ascii="Calibri" w:hAnsi="Calibri"/>
                <w:color w:val="111827"/>
              </w:rPr>
              <w:t>Evaluation on a later time window to approximate future deployment conditions.</w:t>
            </w:r>
          </w:p>
        </w:tc>
      </w:tr>
      <w:tr>
        <w:trPr>
          <w:cantSplit/>
        </w:trPr>
        <w:tc>
          <w:tcPr>
            <w:tcW w:type="dxa" w:w="2700"/>
            <w:shd w:fill="E8EEF5"/>
            <w:vAlign w:val="center"/>
            <w:tcMar>
              <w:top w:w="80" w:type="dxa"/>
              <w:start w:w="120" w:type="dxa"/>
              <w:bottom w:w="80" w:type="dxa"/>
              <w:end w:w="120" w:type="dxa"/>
            </w:tcMar>
          </w:tcPr>
          <w:p>
            <w:pPr>
              <w:spacing w:after="0"/>
            </w:pPr>
            <w:r>
              <w:rPr>
                <w:rFonts w:ascii="Calibri" w:hAnsi="Calibri"/>
                <w:b/>
                <w:color w:val="0B2545"/>
              </w:rPr>
              <w:t>Reason direction</w:t>
            </w:r>
          </w:p>
        </w:tc>
        <w:tc>
          <w:tcPr>
            <w:tcW w:type="dxa" w:w="6660"/>
            <w:tcMar>
              <w:top w:w="80" w:type="dxa"/>
              <w:start w:w="120" w:type="dxa"/>
              <w:bottom w:w="80" w:type="dxa"/>
              <w:end w:w="120" w:type="dxa"/>
            </w:tcMar>
          </w:tcPr>
          <w:p>
            <w:pPr>
              <w:spacing w:after="0"/>
            </w:pPr>
            <w:r>
              <w:rPr>
                <w:rFonts w:ascii="Calibri" w:hAnsi="Calibri"/>
                <w:color w:val="111827"/>
              </w:rPr>
              <w:t>A local contribution indicating whether a feature raised or lowered the base model score; not causality.</w:t>
            </w:r>
          </w:p>
        </w:tc>
      </w:tr>
    </w:tbl>
    <w:p>
      <w:pPr>
        <w:spacing w:after="0"/>
      </w:pPr>
    </w:p>
    <w:p>
      <w:pPr>
        <w:pStyle w:val="Heading2"/>
      </w:pPr>
      <w:r>
        <w:t>Numbers to memorize</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blHeader w:val="true"/>
        </w:trPr>
        <w:tc>
          <w:tcPr>
            <w:tcW w:type="dxa" w:w="2700"/>
            <w:shd w:fill="E8EEF5"/>
            <w:vAlign w:val="center"/>
            <w:tcMar>
              <w:top w:w="80" w:type="dxa"/>
              <w:start w:w="120" w:type="dxa"/>
              <w:bottom w:w="80" w:type="dxa"/>
              <w:end w:w="120" w:type="dxa"/>
            </w:tcMar>
          </w:tcPr>
          <w:p>
            <w:pPr>
              <w:spacing w:after="0"/>
            </w:pPr>
            <w:r>
              <w:rPr>
                <w:rFonts w:ascii="Calibri" w:hAnsi="Calibri"/>
                <w:b/>
                <w:color w:val="0B2545"/>
              </w:rPr>
              <w:t>Source</w:t>
            </w:r>
          </w:p>
        </w:tc>
        <w:tc>
          <w:tcPr>
            <w:tcW w:type="dxa" w:w="6660"/>
            <w:tcMar>
              <w:top w:w="80" w:type="dxa"/>
              <w:start w:w="120" w:type="dxa"/>
              <w:bottom w:w="80" w:type="dxa"/>
              <w:end w:w="120" w:type="dxa"/>
            </w:tcMar>
          </w:tcPr>
          <w:p>
            <w:pPr>
              <w:spacing w:after="0"/>
            </w:pPr>
            <w:r>
              <w:rPr>
                <w:rFonts w:ascii="Calibri" w:hAnsi="Calibri"/>
                <w:color w:val="111827"/>
              </w:rPr>
              <w:t>307,511 rows</w:t>
            </w:r>
          </w:p>
        </w:tc>
      </w:tr>
      <w:tr>
        <w:trPr>
          <w:cantSplit/>
        </w:trPr>
        <w:tc>
          <w:tcPr>
            <w:tcW w:type="dxa" w:w="2700"/>
            <w:shd w:fill="E8EEF5"/>
            <w:vAlign w:val="center"/>
            <w:tcMar>
              <w:top w:w="80" w:type="dxa"/>
              <w:start w:w="120" w:type="dxa"/>
              <w:bottom w:w="80" w:type="dxa"/>
              <w:end w:w="120" w:type="dxa"/>
            </w:tcMar>
          </w:tcPr>
          <w:p>
            <w:pPr>
              <w:spacing w:after="0"/>
            </w:pPr>
            <w:r>
              <w:rPr>
                <w:rFonts w:ascii="Calibri" w:hAnsi="Calibri"/>
                <w:b/>
                <w:color w:val="0B2545"/>
              </w:rPr>
              <w:t>Split</w:t>
            </w:r>
          </w:p>
        </w:tc>
        <w:tc>
          <w:tcPr>
            <w:tcW w:type="dxa" w:w="6660"/>
            <w:tcMar>
              <w:top w:w="80" w:type="dxa"/>
              <w:start w:w="120" w:type="dxa"/>
              <w:bottom w:w="80" w:type="dxa"/>
              <w:end w:w="120" w:type="dxa"/>
            </w:tcMar>
          </w:tcPr>
          <w:p>
            <w:pPr>
              <w:spacing w:after="0"/>
            </w:pPr>
            <w:r>
              <w:rPr>
                <w:rFonts w:ascii="Calibri" w:hAnsi="Calibri"/>
                <w:color w:val="111827"/>
              </w:rPr>
              <w:t>196,806 train | 49,202 calibration | 61,503 final test</w:t>
            </w:r>
          </w:p>
        </w:tc>
      </w:tr>
      <w:tr>
        <w:trPr>
          <w:cantSplit/>
        </w:trPr>
        <w:tc>
          <w:tcPr>
            <w:tcW w:type="dxa" w:w="2700"/>
            <w:shd w:fill="E8EEF5"/>
            <w:vAlign w:val="center"/>
            <w:tcMar>
              <w:top w:w="80" w:type="dxa"/>
              <w:start w:w="120" w:type="dxa"/>
              <w:bottom w:w="80" w:type="dxa"/>
              <w:end w:w="120" w:type="dxa"/>
            </w:tcMar>
          </w:tcPr>
          <w:p>
            <w:pPr>
              <w:spacing w:after="0"/>
            </w:pPr>
            <w:r>
              <w:rPr>
                <w:rFonts w:ascii="Calibri" w:hAnsi="Calibri"/>
                <w:b/>
                <w:color w:val="0B2545"/>
              </w:rPr>
              <w:t>Live model</w:t>
            </w:r>
          </w:p>
        </w:tc>
        <w:tc>
          <w:tcPr>
            <w:tcW w:type="dxa" w:w="6660"/>
            <w:tcMar>
              <w:top w:w="80" w:type="dxa"/>
              <w:start w:w="120" w:type="dxa"/>
              <w:bottom w:w="80" w:type="dxa"/>
              <w:end w:w="120" w:type="dxa"/>
            </w:tcMar>
          </w:tcPr>
          <w:p>
            <w:pPr>
              <w:spacing w:after="0"/>
            </w:pPr>
            <w:r>
              <w:rPr>
                <w:rFonts w:ascii="Calibri" w:hAnsi="Calibri"/>
                <w:color w:val="111827"/>
              </w:rPr>
              <w:t>XGBoost, 350 estimators, depth 4, learning rate 0.05</w:t>
            </w:r>
          </w:p>
        </w:tc>
      </w:tr>
      <w:tr>
        <w:trPr>
          <w:cantSplit/>
        </w:trPr>
        <w:tc>
          <w:tcPr>
            <w:tcW w:type="dxa" w:w="2700"/>
            <w:shd w:fill="E8EEF5"/>
            <w:vAlign w:val="center"/>
            <w:tcMar>
              <w:top w:w="80" w:type="dxa"/>
              <w:start w:w="120" w:type="dxa"/>
              <w:bottom w:w="80" w:type="dxa"/>
              <w:end w:w="120" w:type="dxa"/>
            </w:tcMar>
          </w:tcPr>
          <w:p>
            <w:pPr>
              <w:spacing w:after="0"/>
            </w:pPr>
            <w:r>
              <w:rPr>
                <w:rFonts w:ascii="Calibri" w:hAnsi="Calibri"/>
                <w:b/>
                <w:color w:val="0B2545"/>
              </w:rPr>
              <w:t>Calibration</w:t>
            </w:r>
          </w:p>
        </w:tc>
        <w:tc>
          <w:tcPr>
            <w:tcW w:type="dxa" w:w="6660"/>
            <w:tcMar>
              <w:top w:w="80" w:type="dxa"/>
              <w:start w:w="120" w:type="dxa"/>
              <w:bottom w:w="80" w:type="dxa"/>
              <w:end w:w="120" w:type="dxa"/>
            </w:tcMar>
          </w:tcPr>
          <w:p>
            <w:pPr>
              <w:spacing w:after="0"/>
            </w:pPr>
            <w:r>
              <w:rPr>
                <w:rFonts w:ascii="Calibri" w:hAnsi="Calibri"/>
                <w:color w:val="111827"/>
              </w:rPr>
              <w:t>Sigmoid</w:t>
            </w:r>
          </w:p>
        </w:tc>
      </w:tr>
      <w:tr>
        <w:trPr>
          <w:cantSplit/>
        </w:trPr>
        <w:tc>
          <w:tcPr>
            <w:tcW w:type="dxa" w:w="2700"/>
            <w:shd w:fill="E8EEF5"/>
            <w:vAlign w:val="center"/>
            <w:tcMar>
              <w:top w:w="80" w:type="dxa"/>
              <w:start w:w="120" w:type="dxa"/>
              <w:bottom w:w="80" w:type="dxa"/>
              <w:end w:w="120" w:type="dxa"/>
            </w:tcMar>
          </w:tcPr>
          <w:p>
            <w:pPr>
              <w:spacing w:after="0"/>
            </w:pPr>
            <w:r>
              <w:rPr>
                <w:rFonts w:ascii="Calibri" w:hAnsi="Calibri"/>
                <w:b/>
                <w:color w:val="0B2545"/>
              </w:rPr>
              <w:t>Metrics</w:t>
            </w:r>
          </w:p>
        </w:tc>
        <w:tc>
          <w:tcPr>
            <w:tcW w:type="dxa" w:w="6660"/>
            <w:tcMar>
              <w:top w:w="80" w:type="dxa"/>
              <w:start w:w="120" w:type="dxa"/>
              <w:bottom w:w="80" w:type="dxa"/>
              <w:end w:w="120" w:type="dxa"/>
            </w:tcMar>
          </w:tcPr>
          <w:p>
            <w:pPr>
              <w:spacing w:after="0"/>
            </w:pPr>
            <w:r>
              <w:rPr>
                <w:rFonts w:ascii="Calibri" w:hAnsi="Calibri"/>
                <w:color w:val="111827"/>
              </w:rPr>
              <w:t>ROC-AUC 0.6448 | PR-AUC 0.1406 | Brier 0.07257</w:t>
            </w:r>
          </w:p>
        </w:tc>
      </w:tr>
      <w:tr>
        <w:trPr>
          <w:cantSplit/>
        </w:trPr>
        <w:tc>
          <w:tcPr>
            <w:tcW w:type="dxa" w:w="2700"/>
            <w:shd w:fill="E8EEF5"/>
            <w:vAlign w:val="center"/>
            <w:tcMar>
              <w:top w:w="80" w:type="dxa"/>
              <w:start w:w="120" w:type="dxa"/>
              <w:bottom w:w="80" w:type="dxa"/>
              <w:end w:w="120" w:type="dxa"/>
            </w:tcMar>
          </w:tcPr>
          <w:p>
            <w:pPr>
              <w:spacing w:after="0"/>
            </w:pPr>
            <w:r>
              <w:rPr>
                <w:rFonts w:ascii="Calibri" w:hAnsi="Calibri"/>
                <w:b/>
                <w:color w:val="0B2545"/>
              </w:rPr>
              <w:t>Tests</w:t>
            </w:r>
          </w:p>
        </w:tc>
        <w:tc>
          <w:tcPr>
            <w:tcW w:type="dxa" w:w="6660"/>
            <w:tcMar>
              <w:top w:w="80" w:type="dxa"/>
              <w:start w:w="120" w:type="dxa"/>
              <w:bottom w:w="80" w:type="dxa"/>
              <w:end w:w="120" w:type="dxa"/>
            </w:tcMar>
          </w:tcPr>
          <w:p>
            <w:pPr>
              <w:spacing w:after="0"/>
            </w:pPr>
            <w:r>
              <w:rPr>
                <w:rFonts w:ascii="Calibri" w:hAnsi="Calibri"/>
                <w:color w:val="111827"/>
              </w:rPr>
              <w:t>30 passing</w:t>
            </w:r>
          </w:p>
        </w:tc>
      </w:tr>
      <w:tr>
        <w:trPr>
          <w:cantSplit/>
        </w:trPr>
        <w:tc>
          <w:tcPr>
            <w:tcW w:type="dxa" w:w="2700"/>
            <w:shd w:fill="E8EEF5"/>
            <w:vAlign w:val="center"/>
            <w:tcMar>
              <w:top w:w="80" w:type="dxa"/>
              <w:start w:w="120" w:type="dxa"/>
              <w:bottom w:w="80" w:type="dxa"/>
              <w:end w:w="120" w:type="dxa"/>
            </w:tcMar>
          </w:tcPr>
          <w:p>
            <w:pPr>
              <w:spacing w:after="0"/>
            </w:pPr>
            <w:r>
              <w:rPr>
                <w:rFonts w:ascii="Calibri" w:hAnsi="Calibri"/>
                <w:b/>
                <w:color w:val="0B2545"/>
              </w:rPr>
              <w:t>Live features</w:t>
            </w:r>
          </w:p>
        </w:tc>
        <w:tc>
          <w:tcPr>
            <w:tcW w:type="dxa" w:w="6660"/>
            <w:tcMar>
              <w:top w:w="80" w:type="dxa"/>
              <w:start w:w="120" w:type="dxa"/>
              <w:bottom w:w="80" w:type="dxa"/>
              <w:end w:w="120" w:type="dxa"/>
            </w:tcMar>
          </w:tcPr>
          <w:p>
            <w:pPr>
              <w:spacing w:after="0"/>
            </w:pPr>
            <w:r>
              <w:rPr>
                <w:rFonts w:ascii="Calibri" w:hAnsi="Calibri"/>
                <w:color w:val="111827"/>
              </w:rPr>
              <w:t>6 raw form-derived inputs + 2 ratios</w:t>
            </w:r>
          </w:p>
        </w:tc>
      </w:tr>
    </w:tbl>
    <w:p>
      <w:pPr>
        <w:spacing w:after="0"/>
      </w:pPr>
    </w:p>
    <w:p>
      <w:pPr>
        <w:pStyle w:val="Heading1"/>
      </w:pPr>
      <w:r>
        <w:t>13. Seven-day preparation plan</w:t>
      </w:r>
    </w:p>
    <w:tbl>
      <w:tblPr>
        <w:tblW w:type="dxa" w:w="9360"/>
        <w:jc w:val="left"/>
        <w:tblLayout w:type="fixed"/>
        <w:tblLook w:firstColumn="1" w:firstRow="1" w:lastColumn="0" w:lastRow="0" w:noHBand="0" w:noVBand="1" w:val="04A0"/>
        <w:tblInd w:w="120" w:type="dxa"/>
      </w:tblPr>
      <w:tblGrid>
        <w:gridCol w:w="780"/>
        <w:gridCol w:w="2450"/>
        <w:gridCol w:w="6130"/>
      </w:tblGrid>
      <w:tr>
        <w:trPr>
          <w:cantSplit/>
          <w:tblHeader w:val="true"/>
        </w:trPr>
        <w:tc>
          <w:tcPr>
            <w:tcW w:type="dxa" w:w="780"/>
            <w:shd w:fill="0B2545"/>
            <w:tcMar>
              <w:top w:w="80" w:type="dxa"/>
              <w:start w:w="120" w:type="dxa"/>
              <w:bottom w:w="80" w:type="dxa"/>
              <w:end w:w="120" w:type="dxa"/>
            </w:tcMar>
          </w:tcPr>
          <w:p>
            <w:r>
              <w:rPr>
                <w:rFonts w:ascii="Calibri" w:hAnsi="Calibri"/>
                <w:b/>
                <w:color w:val="FFFFFF"/>
                <w:sz w:val="18"/>
              </w:rPr>
              <w:t>Day</w:t>
            </w:r>
          </w:p>
        </w:tc>
        <w:tc>
          <w:tcPr>
            <w:tcW w:type="dxa" w:w="2450"/>
            <w:shd w:fill="0B2545"/>
            <w:tcMar>
              <w:top w:w="80" w:type="dxa"/>
              <w:start w:w="120" w:type="dxa"/>
              <w:bottom w:w="80" w:type="dxa"/>
              <w:end w:w="120" w:type="dxa"/>
            </w:tcMar>
          </w:tcPr>
          <w:p>
            <w:r>
              <w:rPr>
                <w:rFonts w:ascii="Calibri" w:hAnsi="Calibri"/>
                <w:b/>
                <w:color w:val="FFFFFF"/>
                <w:sz w:val="18"/>
              </w:rPr>
              <w:t>Focus</w:t>
            </w:r>
          </w:p>
        </w:tc>
        <w:tc>
          <w:tcPr>
            <w:tcW w:type="dxa" w:w="6130"/>
            <w:shd w:fill="0B2545"/>
            <w:tcMar>
              <w:top w:w="80" w:type="dxa"/>
              <w:start w:w="120" w:type="dxa"/>
              <w:bottom w:w="80" w:type="dxa"/>
              <w:end w:w="120" w:type="dxa"/>
            </w:tcMar>
          </w:tcPr>
          <w:p>
            <w:r>
              <w:rPr>
                <w:rFonts w:ascii="Calibri" w:hAnsi="Calibri"/>
                <w:b/>
                <w:color w:val="FFFFFF"/>
                <w:sz w:val="18"/>
              </w:rPr>
              <w:t>Done when</w:t>
            </w:r>
          </w:p>
        </w:tc>
      </w:tr>
      <w:tr>
        <w:trPr>
          <w:cantSplit/>
        </w:trPr>
        <w:tc>
          <w:tcPr>
            <w:tcW w:type="dxa" w:w="780"/>
            <w:tcMar>
              <w:top w:w="80" w:type="dxa"/>
              <w:start w:w="120" w:type="dxa"/>
              <w:bottom w:w="80" w:type="dxa"/>
              <w:end w:w="120" w:type="dxa"/>
            </w:tcMar>
          </w:tcPr>
          <w:p>
            <w:r>
              <w:rPr>
                <w:rFonts w:ascii="Calibri" w:hAnsi="Calibri"/>
                <w:color w:val="111827"/>
                <w:sz w:val="18"/>
              </w:rPr>
              <w:t>1</w:t>
            </w:r>
          </w:p>
        </w:tc>
        <w:tc>
          <w:tcPr>
            <w:tcW w:type="dxa" w:w="2450"/>
            <w:tcMar>
              <w:top w:w="80" w:type="dxa"/>
              <w:start w:w="120" w:type="dxa"/>
              <w:bottom w:w="80" w:type="dxa"/>
              <w:end w:w="120" w:type="dxa"/>
            </w:tcMar>
          </w:tcPr>
          <w:p>
            <w:r>
              <w:rPr>
                <w:rFonts w:ascii="Calibri" w:hAnsi="Calibri"/>
                <w:color w:val="111827"/>
                <w:sz w:val="18"/>
              </w:rPr>
              <w:t>Story and architecture</w:t>
            </w:r>
          </w:p>
        </w:tc>
        <w:tc>
          <w:tcPr>
            <w:tcW w:type="dxa" w:w="6130"/>
            <w:tcMar>
              <w:top w:w="80" w:type="dxa"/>
              <w:start w:w="120" w:type="dxa"/>
              <w:bottom w:w="80" w:type="dxa"/>
              <w:end w:w="120" w:type="dxa"/>
            </w:tcMar>
          </w:tcPr>
          <w:p>
            <w:r>
              <w:rPr>
                <w:rFonts w:ascii="Calibri" w:hAnsi="Calibri"/>
                <w:color w:val="111827"/>
                <w:sz w:val="18"/>
              </w:rPr>
              <w:t>Deliver the 60-second pitch and draw the hybrid boundary from memory.</w:t>
            </w:r>
          </w:p>
        </w:tc>
      </w:tr>
      <w:tr>
        <w:trPr>
          <w:cantSplit/>
        </w:trPr>
        <w:tc>
          <w:tcPr>
            <w:tcW w:type="dxa" w:w="780"/>
            <w:tcMar>
              <w:top w:w="80" w:type="dxa"/>
              <w:start w:w="120" w:type="dxa"/>
              <w:bottom w:w="80" w:type="dxa"/>
              <w:end w:w="120" w:type="dxa"/>
            </w:tcMar>
          </w:tcPr>
          <w:p>
            <w:r>
              <w:rPr>
                <w:rFonts w:ascii="Calibri" w:hAnsi="Calibri"/>
                <w:color w:val="111827"/>
                <w:sz w:val="18"/>
              </w:rPr>
              <w:t>2</w:t>
            </w:r>
          </w:p>
        </w:tc>
        <w:tc>
          <w:tcPr>
            <w:tcW w:type="dxa" w:w="2450"/>
            <w:tcMar>
              <w:top w:w="80" w:type="dxa"/>
              <w:start w:w="120" w:type="dxa"/>
              <w:bottom w:w="80" w:type="dxa"/>
              <w:end w:w="120" w:type="dxa"/>
            </w:tcMar>
          </w:tcPr>
          <w:p>
            <w:r>
              <w:rPr>
                <w:rFonts w:ascii="Calibri" w:hAnsi="Calibri"/>
                <w:color w:val="111827"/>
                <w:sz w:val="18"/>
              </w:rPr>
              <w:t>Affordability mathematics</w:t>
            </w:r>
          </w:p>
        </w:tc>
        <w:tc>
          <w:tcPr>
            <w:tcW w:type="dxa" w:w="6130"/>
            <w:tcMar>
              <w:top w:w="80" w:type="dxa"/>
              <w:start w:w="120" w:type="dxa"/>
              <w:bottom w:w="80" w:type="dxa"/>
              <w:end w:w="120" w:type="dxa"/>
            </w:tcMar>
          </w:tcPr>
          <w:p>
            <w:r>
              <w:rPr>
                <w:rFonts w:ascii="Calibri" w:hAnsi="Calibri"/>
                <w:color w:val="111827"/>
                <w:sz w:val="18"/>
              </w:rPr>
              <w:t>Explain EMI capacity, principal conversion, DSR, residual income, and policy caps.</w:t>
            </w:r>
          </w:p>
        </w:tc>
      </w:tr>
      <w:tr>
        <w:trPr>
          <w:cantSplit/>
        </w:trPr>
        <w:tc>
          <w:tcPr>
            <w:tcW w:type="dxa" w:w="780"/>
            <w:tcMar>
              <w:top w:w="80" w:type="dxa"/>
              <w:start w:w="120" w:type="dxa"/>
              <w:bottom w:w="80" w:type="dxa"/>
              <w:end w:w="120" w:type="dxa"/>
            </w:tcMar>
          </w:tcPr>
          <w:p>
            <w:r>
              <w:rPr>
                <w:rFonts w:ascii="Calibri" w:hAnsi="Calibri"/>
                <w:color w:val="111827"/>
                <w:sz w:val="18"/>
              </w:rPr>
              <w:t>3</w:t>
            </w:r>
          </w:p>
        </w:tc>
        <w:tc>
          <w:tcPr>
            <w:tcW w:type="dxa" w:w="2450"/>
            <w:tcMar>
              <w:top w:w="80" w:type="dxa"/>
              <w:start w:w="120" w:type="dxa"/>
              <w:bottom w:w="80" w:type="dxa"/>
              <w:end w:w="120" w:type="dxa"/>
            </w:tcMar>
          </w:tcPr>
          <w:p>
            <w:r>
              <w:rPr>
                <w:rFonts w:ascii="Calibri" w:hAnsi="Calibri"/>
                <w:color w:val="111827"/>
                <w:sz w:val="18"/>
              </w:rPr>
              <w:t>ML methodology</w:t>
            </w:r>
          </w:p>
        </w:tc>
        <w:tc>
          <w:tcPr>
            <w:tcW w:type="dxa" w:w="6130"/>
            <w:tcMar>
              <w:top w:w="80" w:type="dxa"/>
              <w:start w:w="120" w:type="dxa"/>
              <w:bottom w:w="80" w:type="dxa"/>
              <w:end w:w="120" w:type="dxa"/>
            </w:tcMar>
          </w:tcPr>
          <w:p>
            <w:r>
              <w:rPr>
                <w:rFonts w:ascii="Calibri" w:hAnsi="Calibri"/>
                <w:color w:val="111827"/>
                <w:sz w:val="18"/>
              </w:rPr>
              <w:t>Explain feature contract, OOF selection, separate calibration, untouched final test, and leakage risks.</w:t>
            </w:r>
          </w:p>
        </w:tc>
      </w:tr>
      <w:tr>
        <w:trPr>
          <w:cantSplit/>
        </w:trPr>
        <w:tc>
          <w:tcPr>
            <w:tcW w:type="dxa" w:w="780"/>
            <w:tcMar>
              <w:top w:w="80" w:type="dxa"/>
              <w:start w:w="120" w:type="dxa"/>
              <w:bottom w:w="80" w:type="dxa"/>
              <w:end w:w="120" w:type="dxa"/>
            </w:tcMar>
          </w:tcPr>
          <w:p>
            <w:r>
              <w:rPr>
                <w:rFonts w:ascii="Calibri" w:hAnsi="Calibri"/>
                <w:color w:val="111827"/>
                <w:sz w:val="18"/>
              </w:rPr>
              <w:t>4</w:t>
            </w:r>
          </w:p>
        </w:tc>
        <w:tc>
          <w:tcPr>
            <w:tcW w:type="dxa" w:w="2450"/>
            <w:tcMar>
              <w:top w:w="80" w:type="dxa"/>
              <w:start w:w="120" w:type="dxa"/>
              <w:bottom w:w="80" w:type="dxa"/>
              <w:end w:w="120" w:type="dxa"/>
            </w:tcMar>
          </w:tcPr>
          <w:p>
            <w:r>
              <w:rPr>
                <w:rFonts w:ascii="Calibri" w:hAnsi="Calibri"/>
                <w:color w:val="111827"/>
                <w:sz w:val="18"/>
              </w:rPr>
              <w:t>Metrics</w:t>
            </w:r>
          </w:p>
        </w:tc>
        <w:tc>
          <w:tcPr>
            <w:tcW w:type="dxa" w:w="6130"/>
            <w:tcMar>
              <w:top w:w="80" w:type="dxa"/>
              <w:start w:w="120" w:type="dxa"/>
              <w:bottom w:w="80" w:type="dxa"/>
              <w:end w:w="120" w:type="dxa"/>
            </w:tcMar>
          </w:tcPr>
          <w:p>
            <w:r>
              <w:rPr>
                <w:rFonts w:ascii="Calibri" w:hAnsi="Calibri"/>
                <w:color w:val="111827"/>
                <w:sz w:val="18"/>
              </w:rPr>
              <w:t>Explain ROC-AUC, PR-AUC, Brier, imbalance, and why 0.50 is not an automatic threshold.</w:t>
            </w:r>
          </w:p>
        </w:tc>
      </w:tr>
      <w:tr>
        <w:trPr>
          <w:cantSplit/>
        </w:trPr>
        <w:tc>
          <w:tcPr>
            <w:tcW w:type="dxa" w:w="780"/>
            <w:tcMar>
              <w:top w:w="80" w:type="dxa"/>
              <w:start w:w="120" w:type="dxa"/>
              <w:bottom w:w="80" w:type="dxa"/>
              <w:end w:w="120" w:type="dxa"/>
            </w:tcMar>
          </w:tcPr>
          <w:p>
            <w:r>
              <w:rPr>
                <w:rFonts w:ascii="Calibri" w:hAnsi="Calibri"/>
                <w:color w:val="111827"/>
                <w:sz w:val="18"/>
              </w:rPr>
              <w:t>5</w:t>
            </w:r>
          </w:p>
        </w:tc>
        <w:tc>
          <w:tcPr>
            <w:tcW w:type="dxa" w:w="2450"/>
            <w:tcMar>
              <w:top w:w="80" w:type="dxa"/>
              <w:start w:w="120" w:type="dxa"/>
              <w:bottom w:w="80" w:type="dxa"/>
              <w:end w:w="120" w:type="dxa"/>
            </w:tcMar>
          </w:tcPr>
          <w:p>
            <w:r>
              <w:rPr>
                <w:rFonts w:ascii="Calibri" w:hAnsi="Calibri"/>
                <w:color w:val="111827"/>
                <w:sz w:val="18"/>
              </w:rPr>
              <w:t>Production and governance</w:t>
            </w:r>
          </w:p>
        </w:tc>
        <w:tc>
          <w:tcPr>
            <w:tcW w:type="dxa" w:w="6130"/>
            <w:tcMar>
              <w:top w:w="80" w:type="dxa"/>
              <w:start w:w="120" w:type="dxa"/>
              <w:bottom w:w="80" w:type="dxa"/>
              <w:end w:w="120" w:type="dxa"/>
            </w:tcMar>
          </w:tcPr>
          <w:p>
            <w:r>
              <w:rPr>
                <w:rFonts w:ascii="Calibri" w:hAnsi="Calibri"/>
                <w:color w:val="111827"/>
                <w:sz w:val="18"/>
              </w:rPr>
              <w:t>Answer deployment, monitoring, artifact, fairness, security, and missing-model questions.</w:t>
            </w:r>
          </w:p>
        </w:tc>
      </w:tr>
      <w:tr>
        <w:trPr>
          <w:cantSplit/>
        </w:trPr>
        <w:tc>
          <w:tcPr>
            <w:tcW w:type="dxa" w:w="780"/>
            <w:tcMar>
              <w:top w:w="80" w:type="dxa"/>
              <w:start w:w="120" w:type="dxa"/>
              <w:bottom w:w="80" w:type="dxa"/>
              <w:end w:w="120" w:type="dxa"/>
            </w:tcMar>
          </w:tcPr>
          <w:p>
            <w:r>
              <w:rPr>
                <w:rFonts w:ascii="Calibri" w:hAnsi="Calibri"/>
                <w:color w:val="111827"/>
                <w:sz w:val="18"/>
              </w:rPr>
              <w:t>6</w:t>
            </w:r>
          </w:p>
        </w:tc>
        <w:tc>
          <w:tcPr>
            <w:tcW w:type="dxa" w:w="2450"/>
            <w:tcMar>
              <w:top w:w="80" w:type="dxa"/>
              <w:start w:w="120" w:type="dxa"/>
              <w:bottom w:w="80" w:type="dxa"/>
              <w:end w:w="120" w:type="dxa"/>
            </w:tcMar>
          </w:tcPr>
          <w:p>
            <w:r>
              <w:rPr>
                <w:rFonts w:ascii="Calibri" w:hAnsi="Calibri"/>
                <w:color w:val="111827"/>
                <w:sz w:val="18"/>
              </w:rPr>
              <w:t>Live demo</w:t>
            </w:r>
          </w:p>
        </w:tc>
        <w:tc>
          <w:tcPr>
            <w:tcW w:type="dxa" w:w="6130"/>
            <w:tcMar>
              <w:top w:w="80" w:type="dxa"/>
              <w:start w:w="120" w:type="dxa"/>
              <w:bottom w:w="80" w:type="dxa"/>
              <w:end w:w="120" w:type="dxa"/>
            </w:tcMar>
          </w:tcPr>
          <w:p>
            <w:r>
              <w:rPr>
                <w:rFonts w:ascii="Calibri" w:hAnsi="Calibri"/>
                <w:color w:val="111827"/>
                <w:sz w:val="18"/>
              </w:rPr>
              <w:t>Complete the five-minute flow twice without notes and recover from one deliberate failure.</w:t>
            </w:r>
          </w:p>
        </w:tc>
      </w:tr>
      <w:tr>
        <w:trPr>
          <w:cantSplit/>
        </w:trPr>
        <w:tc>
          <w:tcPr>
            <w:tcW w:type="dxa" w:w="780"/>
            <w:tcMar>
              <w:top w:w="80" w:type="dxa"/>
              <w:start w:w="120" w:type="dxa"/>
              <w:bottom w:w="80" w:type="dxa"/>
              <w:end w:w="120" w:type="dxa"/>
            </w:tcMar>
          </w:tcPr>
          <w:p>
            <w:r>
              <w:rPr>
                <w:rFonts w:ascii="Calibri" w:hAnsi="Calibri"/>
                <w:color w:val="111827"/>
                <w:sz w:val="18"/>
              </w:rPr>
              <w:t>7</w:t>
            </w:r>
          </w:p>
        </w:tc>
        <w:tc>
          <w:tcPr>
            <w:tcW w:type="dxa" w:w="2450"/>
            <w:tcMar>
              <w:top w:w="80" w:type="dxa"/>
              <w:start w:w="120" w:type="dxa"/>
              <w:bottom w:w="80" w:type="dxa"/>
              <w:end w:w="120" w:type="dxa"/>
            </w:tcMar>
          </w:tcPr>
          <w:p>
            <w:r>
              <w:rPr>
                <w:rFonts w:ascii="Calibri" w:hAnsi="Calibri"/>
                <w:color w:val="111827"/>
                <w:sz w:val="18"/>
              </w:rPr>
              <w:t>Mock interview</w:t>
            </w:r>
          </w:p>
        </w:tc>
        <w:tc>
          <w:tcPr>
            <w:tcW w:type="dxa" w:w="6130"/>
            <w:tcMar>
              <w:top w:w="80" w:type="dxa"/>
              <w:start w:w="120" w:type="dxa"/>
              <w:bottom w:w="80" w:type="dxa"/>
              <w:end w:w="120" w:type="dxa"/>
            </w:tcMar>
          </w:tcPr>
          <w:p>
            <w:r>
              <w:rPr>
                <w:rFonts w:ascii="Calibri" w:hAnsi="Calibri"/>
                <w:color w:val="111827"/>
                <w:sz w:val="18"/>
              </w:rPr>
              <w:t>Record a 30-minute session, remove vague claims, and tighten every answer to evidence.</w:t>
            </w:r>
          </w:p>
        </w:tc>
      </w:tr>
    </w:tbl>
    <w:p>
      <w:pPr>
        <w:pStyle w:val="Heading2"/>
      </w:pPr>
      <w:r>
        <w:t>Final pre-interview checklist</w:t>
      </w:r>
    </w:p>
    <w:p>
      <w:pPr>
        <w:pStyle w:val="ListBullet"/>
      </w:pPr>
      <w:r>
        <w:rPr>
          <w:rFonts w:ascii="Calibri" w:hAnsi="Calibri"/>
          <w:color w:val="111827"/>
        </w:rPr>
        <w:t>Repository opens on the intended branch and the working tree is understood.</w:t>
      </w:r>
    </w:p>
    <w:p>
      <w:pPr>
        <w:pStyle w:val="ListBullet"/>
      </w:pPr>
      <w:r>
        <w:rPr>
          <w:rFonts w:ascii="Calibri" w:hAnsi="Calibri"/>
          <w:color w:val="111827"/>
        </w:rPr>
        <w:t>Streamlit starts locally and the default scenario produces both deterministic and ML outputs.</w:t>
      </w:r>
    </w:p>
    <w:p>
      <w:pPr>
        <w:pStyle w:val="ListBullet"/>
      </w:pPr>
      <w:r>
        <w:rPr>
          <w:rFonts w:ascii="Calibri" w:hAnsi="Calibri"/>
          <w:color w:val="111827"/>
        </w:rPr>
        <w:t>API docs open and POST /simulate returns a valid response.</w:t>
      </w:r>
    </w:p>
    <w:p>
      <w:pPr>
        <w:pStyle w:val="ListBullet"/>
      </w:pPr>
      <w:r>
        <w:rPr>
          <w:rFonts w:ascii="Calibri" w:hAnsi="Calibri"/>
          <w:color w:val="111827"/>
        </w:rPr>
        <w:t>You can quote the split and final-test metrics without looking them up.</w:t>
      </w:r>
    </w:p>
    <w:p>
      <w:pPr>
        <w:pStyle w:val="ListBullet"/>
      </w:pPr>
      <w:r>
        <w:rPr>
          <w:rFonts w:ascii="Calibri" w:hAnsi="Calibri"/>
          <w:color w:val="111827"/>
        </w:rPr>
        <w:t>You can explain one limitation before the interviewer asks for it.</w:t>
      </w:r>
    </w:p>
    <w:p>
      <w:pPr>
        <w:pStyle w:val="ListBullet"/>
      </w:pPr>
      <w:r>
        <w:rPr>
          <w:rFonts w:ascii="Calibri" w:hAnsi="Calibri"/>
          <w:color w:val="111827"/>
        </w:rPr>
        <w:t>You can distinguish the live form-aligned model, the preserved 13-field research model, and the full-feature benchmark.</w:t>
      </w:r>
    </w:p>
    <w:p>
      <w:pPr>
        <w:pStyle w:val="ListBullet"/>
      </w:pPr>
      <w:r>
        <w:rPr>
          <w:rFonts w:ascii="Calibri" w:hAnsi="Calibri"/>
          <w:color w:val="111827"/>
        </w:rPr>
        <w:t>You have one clear improvement roadmap rather than a list of unrelated features.</w:t>
      </w:r>
    </w:p>
    <w:p>
      <w:pPr>
        <w:spacing w:before="100" w:after="160" w:line="276" w:lineRule="auto"/>
        <w:ind w:left="173" w:right="115"/>
        <w:pBdr>
          <w:left w:val="single" w:sz="18" w:space="8" w:color="287A4D"/>
        </w:pBdr>
        <w:shd w:fill="EAF5EF"/>
      </w:pPr>
      <w:r>
        <w:rPr>
          <w:rFonts w:ascii="Calibri" w:hAnsi="Calibri"/>
          <w:b/>
          <w:color w:val="287A4D"/>
        </w:rPr>
        <w:t xml:space="preserve">Best closing line: </w:t>
      </w:r>
      <w:r>
        <w:rPr>
          <w:rFonts w:ascii="Calibri" w:hAnsi="Calibri"/>
          <w:color w:val="111827"/>
        </w:rPr>
        <w:t>The project is not a claim that I reproduced a bank's underwriting system. It demonstrates that I can define a decision boundary, build a leakage-safe calibrated model, integrate it into a usable product, measure it honestly, and identify what would be required before real deployment.</w:t>
      </w:r>
    </w:p>
    <w:sectPr w:rsidR="00FC693F" w:rsidRPr="0006063C" w:rsidSect="00034616">
      <w:headerReference w:type="default" r:id="rId9"/>
      <w:footerReference w:type="default" r:id="rId10"/>
      <w:pgSz w:w="12240" w:h="15840"/>
      <w:pgMar w:top="1181" w:right="1238" w:bottom="1123" w:left="1238"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06A78"/>
        <w:sz w:val="17"/>
      </w:rPr>
      <w:t xml:space="preserve">Portfolio preparation  |  </w:t>
    </w:r>
    <w:r>
      <w:rPr>
        <w:rFonts w:ascii="Calibri" w:hAnsi="Calibri"/>
        <w:color w:val="606A78"/>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06A78"/>
        <w:sz w:val="17"/>
      </w:rPr>
      <w:t>CREDIT RISK DECISION ENGINE  /  INTERVIEW PLAYBOOK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10" w:line="283" w:lineRule="auto"/>
    </w:pPr>
    <w:rPr>
      <w:rFonts w:ascii="Calibri" w:hAnsi="Calibri"/>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80"/>
      <w:outlineLvl w:val="0"/>
    </w:pPr>
    <w:rPr>
      <w:rFonts w:asciiTheme="majorHAnsi" w:eastAsiaTheme="majorEastAsia" w:hAnsiTheme="majorHAnsi" w:cstheme="majorBidi" w:ascii="Calibri" w:hAnsi="Calibri"/>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0B254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606A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line="283" w:lineRule="auto"/>
      <w:ind w:left="547" w:hanging="274"/>
      <w:contextualSpacing/>
    </w:pPr>
    <w:rPr>
      <w:rFonts w:ascii="Calibri" w:hAnsi="Calibri"/>
      <w:sz w:val="21"/>
    </w:rPr>
  </w:style>
  <w:style w:type="paragraph" w:styleId="ListBullet2">
    <w:name w:val="List Bullet 2"/>
    <w:basedOn w:val="Normal"/>
    <w:uiPriority w:val="99"/>
    <w:unhideWhenUsed/>
    <w:rsid w:val="00326F90"/>
    <w:pPr>
      <w:numPr>
        <w:numId w:val="2"/>
      </w:numPr>
      <w:spacing w:after="70" w:line="283" w:lineRule="auto"/>
      <w:ind w:left="950" w:hanging="274"/>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70" w:line="283" w:lineRule="auto"/>
      <w:ind w:left="547" w:hanging="274"/>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 Risk Decision Engine - Interview Preparation Playbook</dc:title>
  <dc:subject>AI/ML Engineer portfolio interview preparation</dc:subject>
  <dc:creator>Project Portfolio</dc:creator>
  <cp:keywords>credit risk, machine learning, calibration, XGBoost, FastAPI, Streamlit, interview</cp:keywords>
  <dc:description>generated by python-docx</dc:description>
  <cp:lastModifiedBy/>
  <cp:revision>1</cp:revision>
  <dcterms:created xsi:type="dcterms:W3CDTF">2013-12-23T23:15:00Z</dcterms:created>
  <dcterms:modified xsi:type="dcterms:W3CDTF">2013-12-23T23:15:00Z</dcterms:modified>
  <cp:category/>
</cp:coreProperties>
</file>