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BB3BA" w14:textId="7A88FCB5" w:rsidR="00216B17" w:rsidRDefault="00216B17" w:rsidP="00216B17">
      <w:pPr>
        <w:jc w:val="center"/>
        <w:rPr>
          <w:rFonts w:ascii="標楷體" w:eastAsia="標楷體" w:hAnsi="標楷體"/>
          <w:sz w:val="48"/>
          <w:szCs w:val="48"/>
        </w:rPr>
      </w:pPr>
      <w:r w:rsidRPr="000D6947">
        <w:rPr>
          <w:rFonts w:ascii="標楷體" w:eastAsia="標楷體" w:hAnsi="標楷體" w:hint="eastAsia"/>
          <w:sz w:val="48"/>
          <w:szCs w:val="48"/>
        </w:rPr>
        <w:t>金融商品設計與評價</w:t>
      </w:r>
    </w:p>
    <w:p w14:paraId="7453B612" w14:textId="3C5173D6" w:rsidR="00F77C1D" w:rsidRPr="000D6947" w:rsidRDefault="00F77C1D" w:rsidP="00216B17">
      <w:pPr>
        <w:jc w:val="center"/>
        <w:rPr>
          <w:rFonts w:ascii="標楷體" w:eastAsia="標楷體" w:hAnsi="標楷體" w:hint="eastAsia"/>
          <w:sz w:val="48"/>
          <w:szCs w:val="48"/>
        </w:rPr>
      </w:pPr>
      <w:r>
        <w:rPr>
          <w:rFonts w:ascii="標楷體" w:eastAsia="標楷體" w:hAnsi="標楷體" w:hint="eastAsia"/>
          <w:sz w:val="48"/>
          <w:szCs w:val="48"/>
        </w:rPr>
        <w:t>選擇權I</w:t>
      </w:r>
    </w:p>
    <w:p w14:paraId="32CABC37" w14:textId="24DA20BE" w:rsidR="00216B17" w:rsidRDefault="00F77C1D" w:rsidP="00216B17">
      <w:pPr>
        <w:pStyle w:val="a7"/>
        <w:numPr>
          <w:ilvl w:val="0"/>
          <w:numId w:val="1"/>
        </w:numPr>
        <w:ind w:leftChars="0"/>
        <w:rPr>
          <w:rFonts w:ascii="標楷體" w:eastAsia="標楷體" w:hAnsi="標楷體"/>
          <w:b/>
          <w:bCs/>
          <w:sz w:val="32"/>
          <w:szCs w:val="32"/>
        </w:rPr>
      </w:pPr>
      <w:r>
        <w:rPr>
          <w:rFonts w:ascii="標楷體" w:eastAsia="標楷體" w:hAnsi="標楷體" w:hint="eastAsia"/>
          <w:b/>
          <w:bCs/>
          <w:sz w:val="32"/>
          <w:szCs w:val="32"/>
        </w:rPr>
        <w:t>選擇權</w:t>
      </w:r>
    </w:p>
    <w:p w14:paraId="5F26E8D2" w14:textId="15F34E60" w:rsidR="00F77C1D" w:rsidRDefault="00F77C1D" w:rsidP="00F77C1D">
      <w:pPr>
        <w:pStyle w:val="a7"/>
        <w:numPr>
          <w:ilvl w:val="0"/>
          <w:numId w:val="8"/>
        </w:numPr>
        <w:ind w:leftChars="0"/>
        <w:rPr>
          <w:rFonts w:ascii="標楷體" w:eastAsia="標楷體" w:hAnsi="標楷體"/>
          <w:b/>
          <w:bCs/>
          <w:sz w:val="32"/>
          <w:szCs w:val="32"/>
        </w:rPr>
      </w:pPr>
      <w:r>
        <w:rPr>
          <w:rFonts w:ascii="標楷體" w:eastAsia="標楷體" w:hAnsi="標楷體" w:hint="eastAsia"/>
          <w:b/>
          <w:bCs/>
          <w:sz w:val="32"/>
          <w:szCs w:val="32"/>
        </w:rPr>
        <w:t>選擇權之契約設計</w:t>
      </w:r>
    </w:p>
    <w:p w14:paraId="1467CB68" w14:textId="1A88F9DA" w:rsidR="00F77C1D" w:rsidRDefault="004E32BE" w:rsidP="00DE6192">
      <w:pPr>
        <w:pStyle w:val="a7"/>
        <w:spacing w:line="360" w:lineRule="auto"/>
        <w:ind w:leftChars="0" w:left="1200"/>
        <w:rPr>
          <w:rFonts w:asciiTheme="minorEastAsia" w:hAnsiTheme="minorEastAsia"/>
          <w:szCs w:val="24"/>
        </w:rPr>
      </w:pPr>
      <w:r>
        <w:rPr>
          <w:rFonts w:asciiTheme="minorEastAsia" w:hAnsiTheme="minorEastAsia" w:hint="eastAsia"/>
          <w:szCs w:val="24"/>
        </w:rPr>
        <w:t>為</w:t>
      </w:r>
      <w:r w:rsidR="00F77C1D" w:rsidRPr="00F77C1D">
        <w:rPr>
          <w:rFonts w:asciiTheme="minorEastAsia" w:hAnsiTheme="minorEastAsia" w:hint="eastAsia"/>
          <w:szCs w:val="24"/>
        </w:rPr>
        <w:t>一種</w:t>
      </w:r>
      <w:r w:rsidR="00F77C1D">
        <w:rPr>
          <w:rFonts w:asciiTheme="minorEastAsia" w:hAnsiTheme="minorEastAsia" w:hint="eastAsia"/>
          <w:szCs w:val="24"/>
        </w:rPr>
        <w:t>衍生性契約，簽約的雙方，有一方在一定期間內具有權利向另一方購買一定數量的標的物。</w:t>
      </w:r>
      <w:r w:rsidR="004E10BC">
        <w:rPr>
          <w:rFonts w:asciiTheme="minorEastAsia" w:hAnsiTheme="minorEastAsia" w:hint="eastAsia"/>
          <w:szCs w:val="24"/>
        </w:rPr>
        <w:t>與其他的衍生性金融商品最大的不同之處為──非零和遊戲。</w:t>
      </w:r>
      <w:r w:rsidR="00F77C1D">
        <w:rPr>
          <w:rFonts w:asciiTheme="minorEastAsia" w:hAnsiTheme="minorEastAsia" w:hint="eastAsia"/>
          <w:szCs w:val="24"/>
        </w:rPr>
        <w:t>履約價通常在簽約時已固定。</w:t>
      </w:r>
    </w:p>
    <w:p w14:paraId="7DB48D3A" w14:textId="09A815A5" w:rsidR="00F77C1D" w:rsidRDefault="00F77C1D" w:rsidP="00F77C1D">
      <w:pPr>
        <w:pStyle w:val="a7"/>
        <w:numPr>
          <w:ilvl w:val="0"/>
          <w:numId w:val="9"/>
        </w:numPr>
        <w:ind w:leftChars="0"/>
        <w:rPr>
          <w:rFonts w:ascii="標楷體" w:eastAsia="標楷體" w:hAnsi="標楷體"/>
          <w:b/>
          <w:bCs/>
          <w:sz w:val="32"/>
          <w:szCs w:val="32"/>
        </w:rPr>
      </w:pPr>
      <w:r w:rsidRPr="00F77C1D">
        <w:rPr>
          <w:rFonts w:ascii="標楷體" w:eastAsia="標楷體" w:hAnsi="標楷體" w:hint="eastAsia"/>
          <w:b/>
          <w:bCs/>
          <w:sz w:val="32"/>
          <w:szCs w:val="32"/>
        </w:rPr>
        <w:t>現貨選擇權與期貨選擇權</w:t>
      </w:r>
    </w:p>
    <w:p w14:paraId="105305CE" w14:textId="18307DB1" w:rsidR="00F77C1D" w:rsidRDefault="00F77C1D" w:rsidP="00DE6192">
      <w:pPr>
        <w:pStyle w:val="a7"/>
        <w:spacing w:line="360" w:lineRule="auto"/>
        <w:ind w:leftChars="0" w:left="1560"/>
        <w:rPr>
          <w:rFonts w:asciiTheme="minorEastAsia" w:hAnsiTheme="minorEastAsia"/>
          <w:szCs w:val="24"/>
        </w:rPr>
      </w:pPr>
      <w:r>
        <w:rPr>
          <w:rFonts w:asciiTheme="minorEastAsia" w:hAnsiTheme="minorEastAsia" w:hint="eastAsia"/>
          <w:szCs w:val="24"/>
        </w:rPr>
        <w:t>選擇權可依其標的分為：</w:t>
      </w:r>
    </w:p>
    <w:p w14:paraId="2AE524FC" w14:textId="14CD0010" w:rsidR="00F77C1D" w:rsidRDefault="00F77C1D" w:rsidP="00DE6192">
      <w:pPr>
        <w:pStyle w:val="a7"/>
        <w:numPr>
          <w:ilvl w:val="0"/>
          <w:numId w:val="10"/>
        </w:numPr>
        <w:spacing w:line="360" w:lineRule="auto"/>
        <w:ind w:leftChars="0"/>
        <w:rPr>
          <w:rFonts w:asciiTheme="minorEastAsia" w:hAnsiTheme="minorEastAsia"/>
          <w:szCs w:val="24"/>
        </w:rPr>
      </w:pPr>
      <w:r>
        <w:rPr>
          <w:rFonts w:asciiTheme="minorEastAsia" w:hAnsiTheme="minorEastAsia" w:hint="eastAsia"/>
          <w:szCs w:val="24"/>
        </w:rPr>
        <w:t>現貨選擇權：有自己的集中交易場所，與標的現貨不在同一場所。</w:t>
      </w:r>
    </w:p>
    <w:p w14:paraId="22F9CCA0" w14:textId="7E27C6C5" w:rsidR="00F77C1D" w:rsidRDefault="00F77C1D" w:rsidP="00DE6192">
      <w:pPr>
        <w:pStyle w:val="a7"/>
        <w:numPr>
          <w:ilvl w:val="0"/>
          <w:numId w:val="10"/>
        </w:numPr>
        <w:spacing w:line="360" w:lineRule="auto"/>
        <w:ind w:leftChars="0"/>
        <w:rPr>
          <w:rFonts w:asciiTheme="minorEastAsia" w:hAnsiTheme="minorEastAsia"/>
          <w:szCs w:val="24"/>
        </w:rPr>
      </w:pPr>
      <w:r>
        <w:rPr>
          <w:rFonts w:asciiTheme="minorEastAsia" w:hAnsiTheme="minorEastAsia" w:hint="eastAsia"/>
          <w:szCs w:val="24"/>
        </w:rPr>
        <w:t>期貨選擇權：與其標的期貨在同一個交易所交易。</w:t>
      </w:r>
    </w:p>
    <w:p w14:paraId="5701659B" w14:textId="44F0D8F3" w:rsidR="00845542" w:rsidRPr="00845542" w:rsidRDefault="00845542" w:rsidP="00DE6192">
      <w:pPr>
        <w:spacing w:line="360" w:lineRule="auto"/>
        <w:ind w:left="1560"/>
        <w:rPr>
          <w:rFonts w:asciiTheme="minorEastAsia" w:hAnsiTheme="minorEastAsia" w:hint="eastAsia"/>
          <w:szCs w:val="24"/>
        </w:rPr>
      </w:pPr>
      <w:r>
        <w:rPr>
          <w:rFonts w:asciiTheme="minorEastAsia" w:hAnsiTheme="minorEastAsia" w:hint="eastAsia"/>
          <w:szCs w:val="24"/>
        </w:rPr>
        <w:t>選擇權價格通常不會改變，只有當選擇權是以股票為標的時，並發生股票股利發放與分割的情形，履約價格會自動調低。</w:t>
      </w:r>
    </w:p>
    <w:p w14:paraId="3FE5C082" w14:textId="296D89DA" w:rsidR="00F77C1D" w:rsidRDefault="00F77C1D" w:rsidP="00F77C1D">
      <w:pPr>
        <w:pStyle w:val="a7"/>
        <w:numPr>
          <w:ilvl w:val="0"/>
          <w:numId w:val="9"/>
        </w:numPr>
        <w:ind w:leftChars="0"/>
        <w:rPr>
          <w:rFonts w:ascii="標楷體" w:eastAsia="標楷體" w:hAnsi="標楷體"/>
          <w:b/>
          <w:bCs/>
          <w:sz w:val="32"/>
          <w:szCs w:val="32"/>
        </w:rPr>
      </w:pPr>
      <w:r>
        <w:rPr>
          <w:rFonts w:ascii="標楷體" w:eastAsia="標楷體" w:hAnsi="標楷體" w:hint="eastAsia"/>
          <w:b/>
          <w:bCs/>
          <w:sz w:val="32"/>
          <w:szCs w:val="32"/>
        </w:rPr>
        <w:t>歐式、美式、亞式</w:t>
      </w:r>
      <w:r w:rsidR="00845542">
        <w:rPr>
          <w:rFonts w:ascii="標楷體" w:eastAsia="標楷體" w:hAnsi="標楷體" w:hint="eastAsia"/>
          <w:b/>
          <w:bCs/>
          <w:sz w:val="32"/>
          <w:szCs w:val="32"/>
        </w:rPr>
        <w:t>選擇權</w:t>
      </w:r>
    </w:p>
    <w:p w14:paraId="1F5DFFDF" w14:textId="42963628" w:rsidR="00845542" w:rsidRDefault="00845542" w:rsidP="00DE6192">
      <w:pPr>
        <w:pStyle w:val="a7"/>
        <w:numPr>
          <w:ilvl w:val="0"/>
          <w:numId w:val="11"/>
        </w:numPr>
        <w:spacing w:line="360" w:lineRule="auto"/>
        <w:ind w:leftChars="0"/>
        <w:rPr>
          <w:rFonts w:asciiTheme="minorEastAsia" w:hAnsiTheme="minorEastAsia"/>
          <w:szCs w:val="24"/>
        </w:rPr>
      </w:pPr>
      <w:r>
        <w:rPr>
          <w:rFonts w:asciiTheme="minorEastAsia" w:hAnsiTheme="minorEastAsia" w:hint="eastAsia"/>
          <w:szCs w:val="24"/>
        </w:rPr>
        <w:t>歐式選擇權：只能在權利期間的最後一天提出履約要求。</w:t>
      </w:r>
    </w:p>
    <w:p w14:paraId="0F31BFDB" w14:textId="46ADD7D4" w:rsidR="00845542" w:rsidRDefault="00845542" w:rsidP="00DE6192">
      <w:pPr>
        <w:pStyle w:val="a7"/>
        <w:numPr>
          <w:ilvl w:val="0"/>
          <w:numId w:val="11"/>
        </w:numPr>
        <w:spacing w:line="360" w:lineRule="auto"/>
        <w:ind w:leftChars="0"/>
        <w:rPr>
          <w:rFonts w:asciiTheme="minorEastAsia" w:hAnsiTheme="minorEastAsia"/>
          <w:szCs w:val="24"/>
        </w:rPr>
      </w:pPr>
      <w:r>
        <w:rPr>
          <w:rFonts w:asciiTheme="minorEastAsia" w:hAnsiTheme="minorEastAsia" w:hint="eastAsia"/>
          <w:szCs w:val="24"/>
        </w:rPr>
        <w:t>美式選擇權：可選擇在權利期間中任何一天提出履約要求。</w:t>
      </w:r>
    </w:p>
    <w:p w14:paraId="38634284" w14:textId="0C35DCD2" w:rsidR="00845542" w:rsidRPr="00845542" w:rsidRDefault="00845542" w:rsidP="00DE6192">
      <w:pPr>
        <w:pStyle w:val="a7"/>
        <w:numPr>
          <w:ilvl w:val="0"/>
          <w:numId w:val="11"/>
        </w:numPr>
        <w:spacing w:line="360" w:lineRule="auto"/>
        <w:ind w:leftChars="0"/>
        <w:rPr>
          <w:rFonts w:asciiTheme="minorEastAsia" w:hAnsiTheme="minorEastAsia" w:hint="eastAsia"/>
          <w:szCs w:val="24"/>
        </w:rPr>
      </w:pPr>
      <w:r>
        <w:rPr>
          <w:rFonts w:asciiTheme="minorEastAsia" w:hAnsiTheme="minorEastAsia" w:hint="eastAsia"/>
          <w:szCs w:val="24"/>
        </w:rPr>
        <w:t>亞式選擇權：履約時的獲利或損益以契約進行間的平均價個計算。</w:t>
      </w:r>
    </w:p>
    <w:p w14:paraId="74B9E259" w14:textId="6F15440A" w:rsidR="00F77C1D" w:rsidRDefault="00F77C1D" w:rsidP="00F77C1D">
      <w:pPr>
        <w:pStyle w:val="a7"/>
        <w:numPr>
          <w:ilvl w:val="0"/>
          <w:numId w:val="9"/>
        </w:numPr>
        <w:ind w:leftChars="0"/>
        <w:rPr>
          <w:rFonts w:ascii="標楷體" w:eastAsia="標楷體" w:hAnsi="標楷體"/>
          <w:b/>
          <w:bCs/>
          <w:sz w:val="32"/>
          <w:szCs w:val="32"/>
        </w:rPr>
      </w:pPr>
      <w:r>
        <w:rPr>
          <w:rFonts w:ascii="標楷體" w:eastAsia="標楷體" w:hAnsi="標楷體" w:hint="eastAsia"/>
          <w:b/>
          <w:bCs/>
          <w:sz w:val="32"/>
          <w:szCs w:val="32"/>
        </w:rPr>
        <w:t>權利金與保證金</w:t>
      </w:r>
    </w:p>
    <w:p w14:paraId="1D267129" w14:textId="5B2F80CF" w:rsidR="00090B08" w:rsidRDefault="00090B08" w:rsidP="00DE6192">
      <w:pPr>
        <w:pStyle w:val="a7"/>
        <w:spacing w:line="360" w:lineRule="auto"/>
        <w:ind w:leftChars="0" w:left="1560"/>
        <w:rPr>
          <w:rFonts w:asciiTheme="minorEastAsia" w:hAnsiTheme="minorEastAsia"/>
          <w:szCs w:val="24"/>
        </w:rPr>
      </w:pPr>
      <w:r>
        <w:rPr>
          <w:rFonts w:asciiTheme="minorEastAsia" w:hAnsiTheme="minorEastAsia" w:hint="eastAsia"/>
          <w:szCs w:val="24"/>
        </w:rPr>
        <w:t>選擇權的買方需付給賣方一筆價金，稱為權利金；賣方在取得權力金的同時，必須繳交保證金，又可分為初始保證金與維持保證金。</w:t>
      </w:r>
    </w:p>
    <w:p w14:paraId="486D6362" w14:textId="45EF0494" w:rsidR="002B6F15" w:rsidRPr="002B6F15" w:rsidRDefault="002B6F15" w:rsidP="002B6F15">
      <w:pPr>
        <w:pStyle w:val="a7"/>
        <w:numPr>
          <w:ilvl w:val="0"/>
          <w:numId w:val="9"/>
        </w:numPr>
        <w:ind w:leftChars="0"/>
        <w:rPr>
          <w:rFonts w:ascii="標楷體" w:eastAsia="標楷體" w:hAnsi="標楷體"/>
          <w:b/>
          <w:bCs/>
          <w:sz w:val="32"/>
          <w:szCs w:val="32"/>
        </w:rPr>
      </w:pPr>
      <w:r w:rsidRPr="002B6F15">
        <w:rPr>
          <w:rFonts w:ascii="標楷體" w:eastAsia="標楷體" w:hAnsi="標楷體" w:hint="eastAsia"/>
          <w:b/>
          <w:bCs/>
          <w:sz w:val="32"/>
          <w:szCs w:val="32"/>
        </w:rPr>
        <w:lastRenderedPageBreak/>
        <w:t>選擇權VS 期貨</w:t>
      </w:r>
    </w:p>
    <w:p w14:paraId="68B094CD" w14:textId="2E0466FF" w:rsidR="002B6F15" w:rsidRPr="002B6F15" w:rsidRDefault="002B6F15" w:rsidP="00DE6192">
      <w:pPr>
        <w:pStyle w:val="a7"/>
        <w:numPr>
          <w:ilvl w:val="0"/>
          <w:numId w:val="13"/>
        </w:numPr>
        <w:spacing w:line="360" w:lineRule="auto"/>
        <w:ind w:leftChars="0"/>
        <w:rPr>
          <w:rFonts w:asciiTheme="minorEastAsia" w:hAnsiTheme="minorEastAsia" w:hint="eastAsia"/>
          <w:szCs w:val="24"/>
        </w:rPr>
      </w:pPr>
      <w:r>
        <w:rPr>
          <w:rFonts w:asciiTheme="minorEastAsia" w:hAnsiTheme="minorEastAsia" w:hint="eastAsia"/>
          <w:szCs w:val="24"/>
        </w:rPr>
        <w:t>交割價格：前者依照交易所規定；後者</w:t>
      </w:r>
      <w:r w:rsidR="004E32BE">
        <w:rPr>
          <w:rFonts w:asciiTheme="minorEastAsia" w:hAnsiTheme="minorEastAsia" w:hint="eastAsia"/>
          <w:szCs w:val="24"/>
        </w:rPr>
        <w:t>透過</w:t>
      </w:r>
      <w:r>
        <w:rPr>
          <w:rFonts w:asciiTheme="minorEastAsia" w:hAnsiTheme="minorEastAsia" w:hint="eastAsia"/>
          <w:szCs w:val="24"/>
        </w:rPr>
        <w:t>市場搓合交易。</w:t>
      </w:r>
    </w:p>
    <w:p w14:paraId="6494D602" w14:textId="0058EA3B" w:rsidR="002B6F15" w:rsidRDefault="002B6F15" w:rsidP="00DE6192">
      <w:pPr>
        <w:pStyle w:val="a7"/>
        <w:numPr>
          <w:ilvl w:val="0"/>
          <w:numId w:val="13"/>
        </w:numPr>
        <w:spacing w:line="360" w:lineRule="auto"/>
        <w:ind w:leftChars="0"/>
        <w:rPr>
          <w:rFonts w:asciiTheme="minorEastAsia" w:hAnsiTheme="minorEastAsia"/>
          <w:szCs w:val="24"/>
        </w:rPr>
      </w:pPr>
      <w:r>
        <w:rPr>
          <w:rFonts w:asciiTheme="minorEastAsia" w:hAnsiTheme="minorEastAsia" w:hint="eastAsia"/>
          <w:szCs w:val="24"/>
        </w:rPr>
        <w:t>權利與義務關係：買方僅有權利而無義務，賣方相反；後者雙方均有履約的義務。</w:t>
      </w:r>
    </w:p>
    <w:p w14:paraId="197280B4" w14:textId="3D938718" w:rsidR="002B6F15" w:rsidRDefault="002B6F15" w:rsidP="00DE6192">
      <w:pPr>
        <w:pStyle w:val="a7"/>
        <w:numPr>
          <w:ilvl w:val="0"/>
          <w:numId w:val="13"/>
        </w:numPr>
        <w:spacing w:line="360" w:lineRule="auto"/>
        <w:ind w:leftChars="0"/>
        <w:rPr>
          <w:rFonts w:asciiTheme="minorEastAsia" w:hAnsiTheme="minorEastAsia"/>
          <w:szCs w:val="24"/>
        </w:rPr>
      </w:pPr>
      <w:r>
        <w:rPr>
          <w:rFonts w:asciiTheme="minorEastAsia" w:hAnsiTheme="minorEastAsia" w:hint="eastAsia"/>
          <w:szCs w:val="24"/>
        </w:rPr>
        <w:t>權利金與保證金：前者買方需支付權利金、賣方支付保證金；後者雙方繳交保證金。</w:t>
      </w:r>
    </w:p>
    <w:p w14:paraId="7989B1CB" w14:textId="6F466483" w:rsidR="002B6F15" w:rsidRDefault="002B6F15" w:rsidP="00DE6192">
      <w:pPr>
        <w:pStyle w:val="a7"/>
        <w:numPr>
          <w:ilvl w:val="0"/>
          <w:numId w:val="13"/>
        </w:numPr>
        <w:spacing w:line="360" w:lineRule="auto"/>
        <w:ind w:leftChars="0"/>
        <w:rPr>
          <w:rFonts w:asciiTheme="minorEastAsia" w:hAnsiTheme="minorEastAsia"/>
          <w:szCs w:val="24"/>
        </w:rPr>
      </w:pPr>
      <w:r>
        <w:rPr>
          <w:rFonts w:asciiTheme="minorEastAsia" w:hAnsiTheme="minorEastAsia" w:hint="eastAsia"/>
          <w:szCs w:val="24"/>
        </w:rPr>
        <w:t>契約的種類數：前者可依履約價格與權利期間</w:t>
      </w:r>
      <w:r w:rsidR="004E10BC">
        <w:rPr>
          <w:rFonts w:asciiTheme="minorEastAsia" w:hAnsiTheme="minorEastAsia" w:hint="eastAsia"/>
          <w:szCs w:val="24"/>
        </w:rPr>
        <w:t>創造多樣性；後者僅能夠透過交割月份，多樣性相較前者較低。</w:t>
      </w:r>
    </w:p>
    <w:p w14:paraId="3C04EC89" w14:textId="2872B2C7" w:rsidR="004E10BC" w:rsidRPr="004E10BC" w:rsidRDefault="002B6F15" w:rsidP="00DE6192">
      <w:pPr>
        <w:pStyle w:val="a7"/>
        <w:numPr>
          <w:ilvl w:val="0"/>
          <w:numId w:val="13"/>
        </w:numPr>
        <w:spacing w:line="360" w:lineRule="auto"/>
        <w:ind w:leftChars="0"/>
        <w:rPr>
          <w:rFonts w:asciiTheme="minorEastAsia" w:hAnsiTheme="minorEastAsia" w:hint="eastAsia"/>
          <w:szCs w:val="24"/>
        </w:rPr>
      </w:pPr>
      <w:r>
        <w:rPr>
          <w:rFonts w:asciiTheme="minorEastAsia" w:hAnsiTheme="minorEastAsia" w:hint="eastAsia"/>
          <w:szCs w:val="24"/>
        </w:rPr>
        <w:t>報酬型態</w:t>
      </w:r>
      <w:r w:rsidR="004E10BC">
        <w:rPr>
          <w:rFonts w:asciiTheme="minorEastAsia" w:hAnsiTheme="minorEastAsia" w:hint="eastAsia"/>
          <w:szCs w:val="24"/>
        </w:rPr>
        <w:t>：前者為非零和遊戲、非對稱報酬型態；後者獲利與損失為對稱性。</w:t>
      </w:r>
    </w:p>
    <w:p w14:paraId="4B3665C5" w14:textId="236E96A0" w:rsidR="00F77C1D" w:rsidRDefault="00F77C1D" w:rsidP="00F77C1D">
      <w:pPr>
        <w:pStyle w:val="a7"/>
        <w:numPr>
          <w:ilvl w:val="0"/>
          <w:numId w:val="8"/>
        </w:numPr>
        <w:ind w:leftChars="0"/>
        <w:rPr>
          <w:rFonts w:ascii="標楷體" w:eastAsia="標楷體" w:hAnsi="標楷體"/>
          <w:b/>
          <w:bCs/>
          <w:sz w:val="32"/>
          <w:szCs w:val="32"/>
        </w:rPr>
      </w:pPr>
      <w:r>
        <w:rPr>
          <w:rFonts w:ascii="標楷體" w:eastAsia="標楷體" w:hAnsi="標楷體" w:hint="eastAsia"/>
          <w:b/>
          <w:bCs/>
          <w:sz w:val="32"/>
          <w:szCs w:val="32"/>
        </w:rPr>
        <w:t>選擇權之投機功能</w:t>
      </w:r>
    </w:p>
    <w:p w14:paraId="73FBCCBB" w14:textId="7F28BFAD" w:rsidR="004E10BC" w:rsidRPr="004E10BC" w:rsidRDefault="004E10BC" w:rsidP="00DE6192">
      <w:pPr>
        <w:pStyle w:val="a7"/>
        <w:spacing w:line="360" w:lineRule="auto"/>
        <w:ind w:leftChars="0" w:left="1200"/>
        <w:rPr>
          <w:rFonts w:asciiTheme="minorEastAsia" w:hAnsiTheme="minorEastAsia" w:hint="eastAsia"/>
          <w:szCs w:val="24"/>
        </w:rPr>
      </w:pPr>
      <w:r>
        <w:rPr>
          <w:rFonts w:asciiTheme="minorEastAsia" w:hAnsiTheme="minorEastAsia" w:hint="eastAsia"/>
          <w:szCs w:val="24"/>
        </w:rPr>
        <w:t>履約價格：K；標的物時價：S；履約價值：</w:t>
      </w:r>
      <w:proofErr w:type="spellStart"/>
      <w:r>
        <w:rPr>
          <w:rFonts w:asciiTheme="minorEastAsia" w:hAnsiTheme="minorEastAsia" w:hint="eastAsia"/>
          <w:szCs w:val="24"/>
        </w:rPr>
        <w:t>EVc</w:t>
      </w:r>
      <w:proofErr w:type="spellEnd"/>
      <w:r>
        <w:rPr>
          <w:rFonts w:asciiTheme="minorEastAsia" w:hAnsiTheme="minorEastAsia" w:hint="eastAsia"/>
          <w:szCs w:val="24"/>
        </w:rPr>
        <w:t>。</w:t>
      </w:r>
    </w:p>
    <w:p w14:paraId="21EE9C8D" w14:textId="3AF85357" w:rsidR="002B6F15" w:rsidRDefault="002B6F15" w:rsidP="002B6F15">
      <w:pPr>
        <w:pStyle w:val="a7"/>
        <w:numPr>
          <w:ilvl w:val="0"/>
          <w:numId w:val="12"/>
        </w:numPr>
        <w:ind w:leftChars="0"/>
        <w:rPr>
          <w:rFonts w:ascii="標楷體" w:eastAsia="標楷體" w:hAnsi="標楷體"/>
          <w:b/>
          <w:bCs/>
          <w:sz w:val="32"/>
          <w:szCs w:val="32"/>
        </w:rPr>
      </w:pPr>
      <w:r w:rsidRPr="002B6F15">
        <w:rPr>
          <w:rFonts w:ascii="標楷體" w:eastAsia="標楷體" w:hAnsi="標楷體" w:hint="eastAsia"/>
          <w:b/>
          <w:bCs/>
          <w:sz w:val="32"/>
          <w:szCs w:val="32"/>
        </w:rPr>
        <w:t>買權之履約價值</w:t>
      </w:r>
    </w:p>
    <w:p w14:paraId="0E295BDF" w14:textId="0206E804" w:rsidR="004E10BC" w:rsidRDefault="004E10BC" w:rsidP="00DE6192">
      <w:pPr>
        <w:pStyle w:val="a7"/>
        <w:spacing w:line="360" w:lineRule="auto"/>
        <w:ind w:leftChars="0" w:left="1560"/>
        <w:rPr>
          <w:rFonts w:asciiTheme="minorEastAsia" w:hAnsiTheme="minorEastAsia"/>
          <w:szCs w:val="24"/>
        </w:rPr>
      </w:pPr>
      <w:r>
        <w:rPr>
          <w:rFonts w:asciiTheme="minorEastAsia" w:hAnsiTheme="minorEastAsia" w:hint="eastAsia"/>
          <w:noProof/>
          <w:szCs w:val="24"/>
        </w:rPr>
        <mc:AlternateContent>
          <mc:Choice Requires="wps">
            <w:drawing>
              <wp:anchor distT="0" distB="0" distL="114300" distR="114300" simplePos="0" relativeHeight="251659264" behindDoc="0" locked="0" layoutInCell="1" allowOverlap="1" wp14:anchorId="5C062C62" wp14:editId="03C197A6">
                <wp:simplePos x="0" y="0"/>
                <wp:positionH relativeFrom="column">
                  <wp:posOffset>1447800</wp:posOffset>
                </wp:positionH>
                <wp:positionV relativeFrom="paragraph">
                  <wp:posOffset>121920</wp:posOffset>
                </wp:positionV>
                <wp:extent cx="266700" cy="830580"/>
                <wp:effectExtent l="38100" t="0" r="19050" b="26670"/>
                <wp:wrapNone/>
                <wp:docPr id="2" name="左大括弧 2"/>
                <wp:cNvGraphicFramePr/>
                <a:graphic xmlns:a="http://schemas.openxmlformats.org/drawingml/2006/main">
                  <a:graphicData uri="http://schemas.microsoft.com/office/word/2010/wordprocessingShape">
                    <wps:wsp>
                      <wps:cNvSpPr/>
                      <wps:spPr>
                        <a:xfrm>
                          <a:off x="0" y="0"/>
                          <a:ext cx="266700" cy="83058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3982A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弧 2" o:spid="_x0000_s1026" type="#_x0000_t87" style="position:absolute;margin-left:114pt;margin-top:9.6pt;width:21pt;height:6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" adj="578" strokecolor="black [3213]" strokeweight=".5pt">
                <v:stroke joinstyle="miter"/>
              </v:shape>
            </w:pict>
          </mc:Fallback>
        </mc:AlternateContent>
      </w:r>
      <w:proofErr w:type="spellStart"/>
      <w:r w:rsidRPr="004E10BC">
        <w:rPr>
          <w:rFonts w:asciiTheme="minorEastAsia" w:hAnsiTheme="minorEastAsia" w:hint="eastAsia"/>
          <w:szCs w:val="24"/>
        </w:rPr>
        <w:t>E</w:t>
      </w:r>
      <w:r w:rsidRPr="004E10BC">
        <w:rPr>
          <w:rFonts w:asciiTheme="minorEastAsia" w:hAnsiTheme="minorEastAsia"/>
          <w:szCs w:val="24"/>
        </w:rPr>
        <w:t>Vc</w:t>
      </w:r>
      <w:proofErr w:type="spellEnd"/>
      <w:r>
        <w:rPr>
          <w:rFonts w:asciiTheme="minorEastAsia" w:hAnsiTheme="minorEastAsia"/>
          <w:szCs w:val="24"/>
        </w:rPr>
        <w:t xml:space="preserve"> =     S – K , </w:t>
      </w:r>
      <w:r>
        <w:rPr>
          <w:rFonts w:asciiTheme="minorEastAsia" w:hAnsiTheme="minorEastAsia" w:hint="eastAsia"/>
          <w:szCs w:val="24"/>
        </w:rPr>
        <w:t xml:space="preserve">　</w:t>
      </w:r>
      <w:r>
        <w:rPr>
          <w:rFonts w:asciiTheme="minorEastAsia" w:hAnsiTheme="minorEastAsia"/>
          <w:szCs w:val="24"/>
        </w:rPr>
        <w:t>if S &gt; K</w:t>
      </w:r>
      <w:r>
        <w:rPr>
          <w:rFonts w:asciiTheme="minorEastAsia" w:hAnsiTheme="minorEastAsia" w:hint="eastAsia"/>
          <w:szCs w:val="24"/>
        </w:rPr>
        <w:t xml:space="preserve"> </w:t>
      </w:r>
      <w:r>
        <w:rPr>
          <w:rFonts w:asciiTheme="minorEastAsia" w:hAnsiTheme="minorEastAsia"/>
          <w:szCs w:val="24"/>
        </w:rPr>
        <w:t>(</w:t>
      </w:r>
      <w:r>
        <w:rPr>
          <w:rFonts w:asciiTheme="minorEastAsia" w:hAnsiTheme="minorEastAsia" w:hint="eastAsia"/>
          <w:szCs w:val="24"/>
        </w:rPr>
        <w:t>價外</w:t>
      </w:r>
      <w:r>
        <w:rPr>
          <w:rFonts w:asciiTheme="minorEastAsia" w:hAnsiTheme="minorEastAsia"/>
          <w:szCs w:val="24"/>
        </w:rPr>
        <w:t>)</w:t>
      </w:r>
      <w:r>
        <w:rPr>
          <w:rFonts w:asciiTheme="minorEastAsia" w:hAnsiTheme="minorEastAsia" w:hint="eastAsia"/>
          <w:szCs w:val="24"/>
        </w:rPr>
        <w:t>；</w:t>
      </w:r>
    </w:p>
    <w:p w14:paraId="18DEBE7B" w14:textId="77777777" w:rsidR="004E10BC" w:rsidRDefault="004E10BC" w:rsidP="00DE6192">
      <w:pPr>
        <w:pStyle w:val="a7"/>
        <w:spacing w:line="360" w:lineRule="auto"/>
        <w:ind w:leftChars="0" w:left="1560"/>
        <w:rPr>
          <w:rFonts w:asciiTheme="minorEastAsia" w:hAnsiTheme="minorEastAsia"/>
          <w:szCs w:val="24"/>
        </w:rPr>
      </w:pPr>
      <w:r>
        <w:rPr>
          <w:rFonts w:asciiTheme="minorEastAsia" w:hAnsiTheme="minorEastAsia" w:hint="eastAsia"/>
          <w:szCs w:val="24"/>
        </w:rPr>
        <w:t xml:space="preserve">          0</w:t>
      </w:r>
      <w:r>
        <w:rPr>
          <w:rFonts w:asciiTheme="minorEastAsia" w:hAnsiTheme="minorEastAsia"/>
          <w:szCs w:val="24"/>
        </w:rPr>
        <w:t>,</w:t>
      </w:r>
      <w:r>
        <w:rPr>
          <w:rFonts w:asciiTheme="minorEastAsia" w:hAnsiTheme="minorEastAsia" w:hint="eastAsia"/>
          <w:szCs w:val="24"/>
        </w:rPr>
        <w:t xml:space="preserve">　　　　i</w:t>
      </w:r>
      <w:r>
        <w:rPr>
          <w:rFonts w:asciiTheme="minorEastAsia" w:hAnsiTheme="minorEastAsia"/>
          <w:szCs w:val="24"/>
        </w:rPr>
        <w:t xml:space="preserve">f </w:t>
      </w:r>
      <w:r>
        <w:rPr>
          <w:rFonts w:asciiTheme="minorEastAsia" w:hAnsiTheme="minorEastAsia" w:hint="eastAsia"/>
          <w:szCs w:val="24"/>
        </w:rPr>
        <w:t>S</w:t>
      </w:r>
      <w:r>
        <w:rPr>
          <w:rFonts w:asciiTheme="minorEastAsia" w:hAnsiTheme="minorEastAsia"/>
          <w:szCs w:val="24"/>
        </w:rPr>
        <w:t xml:space="preserve"> = K</w:t>
      </w:r>
      <w:r>
        <w:rPr>
          <w:rFonts w:asciiTheme="minorEastAsia" w:hAnsiTheme="minorEastAsia" w:hint="eastAsia"/>
          <w:szCs w:val="24"/>
        </w:rPr>
        <w:t xml:space="preserve"> </w:t>
      </w:r>
      <w:r>
        <w:rPr>
          <w:rFonts w:asciiTheme="minorEastAsia" w:hAnsiTheme="minorEastAsia"/>
          <w:szCs w:val="24"/>
        </w:rPr>
        <w:t>(</w:t>
      </w:r>
      <w:r>
        <w:rPr>
          <w:rFonts w:asciiTheme="minorEastAsia" w:hAnsiTheme="minorEastAsia" w:hint="eastAsia"/>
          <w:szCs w:val="24"/>
        </w:rPr>
        <w:t>價平</w:t>
      </w:r>
      <w:r>
        <w:rPr>
          <w:rFonts w:asciiTheme="minorEastAsia" w:hAnsiTheme="minorEastAsia"/>
          <w:szCs w:val="24"/>
        </w:rPr>
        <w:t>)</w:t>
      </w:r>
      <w:r>
        <w:rPr>
          <w:rFonts w:asciiTheme="minorEastAsia" w:hAnsiTheme="minorEastAsia" w:hint="eastAsia"/>
          <w:szCs w:val="24"/>
        </w:rPr>
        <w:t>；</w:t>
      </w:r>
    </w:p>
    <w:p w14:paraId="63A20F3D" w14:textId="6F66D723" w:rsidR="002B6F15" w:rsidRPr="004E10BC" w:rsidRDefault="004E10BC" w:rsidP="00DE6192">
      <w:pPr>
        <w:pStyle w:val="a7"/>
        <w:spacing w:line="360" w:lineRule="auto"/>
        <w:ind w:leftChars="0" w:left="1560"/>
        <w:rPr>
          <w:rFonts w:asciiTheme="minorEastAsia" w:hAnsiTheme="minorEastAsia" w:hint="eastAsia"/>
          <w:szCs w:val="24"/>
        </w:rPr>
      </w:pPr>
      <w:r>
        <w:rPr>
          <w:rFonts w:asciiTheme="minorEastAsia" w:hAnsiTheme="minorEastAsia" w:hint="eastAsia"/>
          <w:szCs w:val="24"/>
        </w:rPr>
        <w:t xml:space="preserve">　　　　　</w:t>
      </w:r>
      <w:r w:rsidRPr="004E10BC">
        <w:rPr>
          <w:rFonts w:asciiTheme="minorEastAsia" w:hAnsiTheme="minorEastAsia" w:hint="eastAsia"/>
          <w:szCs w:val="24"/>
        </w:rPr>
        <w:t>0</w:t>
      </w:r>
      <w:r w:rsidRPr="004E10BC">
        <w:rPr>
          <w:rFonts w:asciiTheme="minorEastAsia" w:hAnsiTheme="minorEastAsia"/>
          <w:szCs w:val="24"/>
        </w:rPr>
        <w:t>,</w:t>
      </w:r>
      <w:r w:rsidRPr="004E10BC">
        <w:rPr>
          <w:rFonts w:asciiTheme="minorEastAsia" w:hAnsiTheme="minorEastAsia" w:hint="eastAsia"/>
          <w:szCs w:val="24"/>
        </w:rPr>
        <w:t xml:space="preserve">　　　　i</w:t>
      </w:r>
      <w:r w:rsidRPr="004E10BC">
        <w:rPr>
          <w:rFonts w:asciiTheme="minorEastAsia" w:hAnsiTheme="minorEastAsia"/>
          <w:szCs w:val="24"/>
        </w:rPr>
        <w:t xml:space="preserve">f </w:t>
      </w:r>
      <w:r w:rsidRPr="004E10BC">
        <w:rPr>
          <w:rFonts w:asciiTheme="minorEastAsia" w:hAnsiTheme="minorEastAsia" w:hint="eastAsia"/>
          <w:szCs w:val="24"/>
        </w:rPr>
        <w:t>S</w:t>
      </w:r>
      <w:r w:rsidRPr="004E10BC">
        <w:rPr>
          <w:rFonts w:asciiTheme="minorEastAsia" w:hAnsiTheme="minorEastAsia"/>
          <w:szCs w:val="24"/>
        </w:rPr>
        <w:t xml:space="preserve"> </w:t>
      </w:r>
      <w:r>
        <w:rPr>
          <w:rFonts w:asciiTheme="minorEastAsia" w:hAnsiTheme="minorEastAsia"/>
          <w:szCs w:val="24"/>
        </w:rPr>
        <w:t xml:space="preserve">&lt; </w:t>
      </w:r>
      <w:r w:rsidRPr="004E10BC">
        <w:rPr>
          <w:rFonts w:asciiTheme="minorEastAsia" w:hAnsiTheme="minorEastAsia"/>
          <w:szCs w:val="24"/>
        </w:rPr>
        <w:t>K</w:t>
      </w:r>
      <w:r w:rsidRPr="004E10BC">
        <w:rPr>
          <w:rFonts w:asciiTheme="minorEastAsia" w:hAnsiTheme="minorEastAsia" w:hint="eastAsia"/>
          <w:szCs w:val="24"/>
        </w:rPr>
        <w:t xml:space="preserve"> </w:t>
      </w:r>
      <w:r w:rsidRPr="004E10BC">
        <w:rPr>
          <w:rFonts w:asciiTheme="minorEastAsia" w:hAnsiTheme="minorEastAsia"/>
          <w:szCs w:val="24"/>
        </w:rPr>
        <w:t>(</w:t>
      </w:r>
      <w:r w:rsidRPr="004E10BC">
        <w:rPr>
          <w:rFonts w:asciiTheme="minorEastAsia" w:hAnsiTheme="minorEastAsia" w:hint="eastAsia"/>
          <w:szCs w:val="24"/>
        </w:rPr>
        <w:t>價</w:t>
      </w:r>
      <w:r>
        <w:rPr>
          <w:rFonts w:asciiTheme="minorEastAsia" w:hAnsiTheme="minorEastAsia" w:hint="eastAsia"/>
          <w:szCs w:val="24"/>
        </w:rPr>
        <w:t>內</w:t>
      </w:r>
      <w:r w:rsidRPr="004E10BC">
        <w:rPr>
          <w:rFonts w:asciiTheme="minorEastAsia" w:hAnsiTheme="minorEastAsia"/>
          <w:szCs w:val="24"/>
        </w:rPr>
        <w:t>)</w:t>
      </w:r>
      <w:r w:rsidRPr="004E10BC">
        <w:rPr>
          <w:rFonts w:asciiTheme="minorEastAsia" w:hAnsiTheme="minorEastAsia" w:hint="eastAsia"/>
          <w:szCs w:val="24"/>
        </w:rPr>
        <w:t>；</w:t>
      </w:r>
    </w:p>
    <w:p w14:paraId="63EAB4D9" w14:textId="575839C6" w:rsidR="002B6F15" w:rsidRDefault="002B6F15" w:rsidP="002B6F15">
      <w:pPr>
        <w:pStyle w:val="a7"/>
        <w:numPr>
          <w:ilvl w:val="0"/>
          <w:numId w:val="12"/>
        </w:numPr>
        <w:ind w:leftChars="0"/>
        <w:rPr>
          <w:rFonts w:ascii="標楷體" w:eastAsia="標楷體" w:hAnsi="標楷體"/>
          <w:b/>
          <w:bCs/>
          <w:sz w:val="32"/>
          <w:szCs w:val="32"/>
        </w:rPr>
      </w:pPr>
      <w:r>
        <w:rPr>
          <w:rFonts w:ascii="標楷體" w:eastAsia="標楷體" w:hAnsi="標楷體" w:hint="eastAsia"/>
          <w:b/>
          <w:bCs/>
          <w:sz w:val="32"/>
          <w:szCs w:val="32"/>
        </w:rPr>
        <w:t>買權之投機功能</w:t>
      </w:r>
    </w:p>
    <w:p w14:paraId="6EAD35AC" w14:textId="71C4ED62" w:rsidR="004E10BC" w:rsidRPr="00C861B4" w:rsidRDefault="004E10BC" w:rsidP="00DE6192">
      <w:pPr>
        <w:pStyle w:val="a7"/>
        <w:spacing w:line="360" w:lineRule="auto"/>
        <w:ind w:leftChars="0" w:left="1560"/>
        <w:rPr>
          <w:rFonts w:asciiTheme="majorEastAsia" w:eastAsiaTheme="majorEastAsia" w:hAnsiTheme="majorEastAsia" w:hint="eastAsia"/>
          <w:szCs w:val="24"/>
        </w:rPr>
      </w:pPr>
      <w:r>
        <w:rPr>
          <w:rFonts w:asciiTheme="majorEastAsia" w:eastAsiaTheme="majorEastAsia" w:hAnsiTheme="majorEastAsia" w:hint="eastAsia"/>
          <w:szCs w:val="24"/>
        </w:rPr>
        <w:t>買權的</w:t>
      </w:r>
      <w:proofErr w:type="spellStart"/>
      <w:r>
        <w:rPr>
          <w:rFonts w:asciiTheme="majorEastAsia" w:eastAsiaTheme="majorEastAsia" w:hAnsiTheme="majorEastAsia" w:hint="eastAsia"/>
          <w:szCs w:val="24"/>
        </w:rPr>
        <w:t>EVc</w:t>
      </w:r>
      <w:proofErr w:type="spellEnd"/>
      <w:r>
        <w:rPr>
          <w:rFonts w:asciiTheme="majorEastAsia" w:eastAsiaTheme="majorEastAsia" w:hAnsiTheme="majorEastAsia" w:hint="eastAsia"/>
          <w:szCs w:val="24"/>
        </w:rPr>
        <w:t>會隨標的物漲價而上升，在標的物的價格低於K時，具有權利者可以選擇不行使其權利</w:t>
      </w:r>
      <w:r w:rsidR="00C861B4">
        <w:rPr>
          <w:rFonts w:asciiTheme="majorEastAsia" w:eastAsiaTheme="majorEastAsia" w:hAnsiTheme="majorEastAsia" w:hint="eastAsia"/>
          <w:szCs w:val="24"/>
        </w:rPr>
        <w:t>依照K買入標的物</w:t>
      </w:r>
      <w:r w:rsidRPr="00C861B4">
        <w:rPr>
          <w:rFonts w:asciiTheme="majorEastAsia" w:eastAsiaTheme="majorEastAsia" w:hAnsiTheme="majorEastAsia" w:hint="eastAsia"/>
          <w:szCs w:val="24"/>
        </w:rPr>
        <w:t>，因此具有風險有限、獲利無窮的性質。</w:t>
      </w:r>
    </w:p>
    <w:p w14:paraId="297C9D0E" w14:textId="1285FA75" w:rsidR="002B6F15" w:rsidRDefault="002B6F15" w:rsidP="002B6F15">
      <w:pPr>
        <w:pStyle w:val="a7"/>
        <w:numPr>
          <w:ilvl w:val="0"/>
          <w:numId w:val="12"/>
        </w:numPr>
        <w:ind w:leftChars="0"/>
        <w:rPr>
          <w:rFonts w:ascii="標楷體" w:eastAsia="標楷體" w:hAnsi="標楷體"/>
          <w:b/>
          <w:bCs/>
          <w:sz w:val="32"/>
          <w:szCs w:val="32"/>
        </w:rPr>
      </w:pPr>
      <w:r>
        <w:rPr>
          <w:rFonts w:ascii="標楷體" w:eastAsia="標楷體" w:hAnsi="標楷體" w:hint="eastAsia"/>
          <w:b/>
          <w:bCs/>
          <w:sz w:val="32"/>
          <w:szCs w:val="32"/>
        </w:rPr>
        <w:t>賣權之履約價值</w:t>
      </w:r>
    </w:p>
    <w:p w14:paraId="6DAD3C9A" w14:textId="2C5107B9" w:rsidR="00C861B4" w:rsidRDefault="00C861B4" w:rsidP="00DE6192">
      <w:pPr>
        <w:pStyle w:val="a7"/>
        <w:spacing w:line="360" w:lineRule="auto"/>
        <w:ind w:leftChars="0" w:left="1560"/>
        <w:rPr>
          <w:rFonts w:asciiTheme="minorEastAsia" w:hAnsiTheme="minorEastAsia"/>
          <w:szCs w:val="24"/>
        </w:rPr>
      </w:pPr>
      <w:r>
        <w:rPr>
          <w:rFonts w:asciiTheme="minorEastAsia" w:hAnsiTheme="minorEastAsia" w:hint="eastAsia"/>
          <w:noProof/>
          <w:szCs w:val="24"/>
        </w:rPr>
        <mc:AlternateContent>
          <mc:Choice Requires="wps">
            <w:drawing>
              <wp:anchor distT="0" distB="0" distL="114300" distR="114300" simplePos="0" relativeHeight="251661312" behindDoc="0" locked="0" layoutInCell="1" allowOverlap="1" wp14:anchorId="294EE6B8" wp14:editId="4987A06A">
                <wp:simplePos x="0" y="0"/>
                <wp:positionH relativeFrom="column">
                  <wp:posOffset>1447800</wp:posOffset>
                </wp:positionH>
                <wp:positionV relativeFrom="paragraph">
                  <wp:posOffset>121920</wp:posOffset>
                </wp:positionV>
                <wp:extent cx="266700" cy="822960"/>
                <wp:effectExtent l="38100" t="0" r="19050" b="15240"/>
                <wp:wrapNone/>
                <wp:docPr id="3" name="左大括弧 3"/>
                <wp:cNvGraphicFramePr/>
                <a:graphic xmlns:a="http://schemas.openxmlformats.org/drawingml/2006/main">
                  <a:graphicData uri="http://schemas.microsoft.com/office/word/2010/wordprocessingShape">
                    <wps:wsp>
                      <wps:cNvSpPr/>
                      <wps:spPr>
                        <a:xfrm>
                          <a:off x="0" y="0"/>
                          <a:ext cx="266700" cy="82296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7DA91" id="左大括弧 3" o:spid="_x0000_s1026" type="#_x0000_t87" style="position:absolute;margin-left:114pt;margin-top:9.6pt;width:21pt;height:6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" adj="583" strokecolor="black [3213]" strokeweight=".5pt">
                <v:stroke joinstyle="miter"/>
              </v:shape>
            </w:pict>
          </mc:Fallback>
        </mc:AlternateContent>
      </w:r>
      <w:proofErr w:type="spellStart"/>
      <w:r w:rsidRPr="004E10BC">
        <w:rPr>
          <w:rFonts w:asciiTheme="minorEastAsia" w:hAnsiTheme="minorEastAsia" w:hint="eastAsia"/>
          <w:szCs w:val="24"/>
        </w:rPr>
        <w:t>E</w:t>
      </w:r>
      <w:r w:rsidRPr="004E10BC">
        <w:rPr>
          <w:rFonts w:asciiTheme="minorEastAsia" w:hAnsiTheme="minorEastAsia"/>
          <w:szCs w:val="24"/>
        </w:rPr>
        <w:t>Vc</w:t>
      </w:r>
      <w:proofErr w:type="spellEnd"/>
      <w:r>
        <w:rPr>
          <w:rFonts w:asciiTheme="minorEastAsia" w:hAnsiTheme="minorEastAsia"/>
          <w:szCs w:val="24"/>
        </w:rPr>
        <w:t xml:space="preserve"> =     K–</w:t>
      </w:r>
      <w:r>
        <w:rPr>
          <w:rFonts w:asciiTheme="minorEastAsia" w:hAnsiTheme="minorEastAsia" w:hint="eastAsia"/>
          <w:szCs w:val="24"/>
        </w:rPr>
        <w:t xml:space="preserve"> </w:t>
      </w:r>
      <w:r>
        <w:rPr>
          <w:rFonts w:asciiTheme="minorEastAsia" w:hAnsiTheme="minorEastAsia"/>
          <w:szCs w:val="24"/>
        </w:rPr>
        <w:t xml:space="preserve">S, </w:t>
      </w:r>
      <w:r>
        <w:rPr>
          <w:rFonts w:asciiTheme="minorEastAsia" w:hAnsiTheme="minorEastAsia" w:hint="eastAsia"/>
          <w:szCs w:val="24"/>
        </w:rPr>
        <w:t xml:space="preserve">　</w:t>
      </w:r>
      <w:r>
        <w:rPr>
          <w:rFonts w:asciiTheme="minorEastAsia" w:hAnsiTheme="minorEastAsia" w:hint="eastAsia"/>
          <w:szCs w:val="24"/>
        </w:rPr>
        <w:t xml:space="preserve"> </w:t>
      </w:r>
      <w:r>
        <w:rPr>
          <w:rFonts w:asciiTheme="minorEastAsia" w:hAnsiTheme="minorEastAsia"/>
          <w:szCs w:val="24"/>
        </w:rPr>
        <w:t xml:space="preserve">if </w:t>
      </w:r>
      <w:r w:rsidRPr="004E10BC">
        <w:rPr>
          <w:rFonts w:asciiTheme="minorEastAsia" w:hAnsiTheme="minorEastAsia" w:hint="eastAsia"/>
          <w:szCs w:val="24"/>
        </w:rPr>
        <w:t>S</w:t>
      </w:r>
      <w:r w:rsidRPr="004E10BC">
        <w:rPr>
          <w:rFonts w:asciiTheme="minorEastAsia" w:hAnsiTheme="minorEastAsia"/>
          <w:szCs w:val="24"/>
        </w:rPr>
        <w:t xml:space="preserve"> </w:t>
      </w:r>
      <w:r>
        <w:rPr>
          <w:rFonts w:asciiTheme="minorEastAsia" w:hAnsiTheme="minorEastAsia"/>
          <w:szCs w:val="24"/>
        </w:rPr>
        <w:t xml:space="preserve">&lt; </w:t>
      </w:r>
      <w:r w:rsidRPr="004E10BC">
        <w:rPr>
          <w:rFonts w:asciiTheme="minorEastAsia" w:hAnsiTheme="minorEastAsia"/>
          <w:szCs w:val="24"/>
        </w:rPr>
        <w:t>K</w:t>
      </w:r>
      <w:r>
        <w:rPr>
          <w:rFonts w:asciiTheme="minorEastAsia" w:hAnsiTheme="minorEastAsia"/>
          <w:szCs w:val="24"/>
        </w:rPr>
        <w:t xml:space="preserve"> </w:t>
      </w:r>
      <w:r>
        <w:rPr>
          <w:rFonts w:asciiTheme="minorEastAsia" w:hAnsiTheme="minorEastAsia"/>
          <w:szCs w:val="24"/>
        </w:rPr>
        <w:t>(</w:t>
      </w:r>
      <w:r>
        <w:rPr>
          <w:rFonts w:asciiTheme="minorEastAsia" w:hAnsiTheme="minorEastAsia" w:hint="eastAsia"/>
          <w:szCs w:val="24"/>
        </w:rPr>
        <w:t>價外</w:t>
      </w:r>
      <w:r>
        <w:rPr>
          <w:rFonts w:asciiTheme="minorEastAsia" w:hAnsiTheme="minorEastAsia"/>
          <w:szCs w:val="24"/>
        </w:rPr>
        <w:t>)</w:t>
      </w:r>
      <w:r>
        <w:rPr>
          <w:rFonts w:asciiTheme="minorEastAsia" w:hAnsiTheme="minorEastAsia" w:hint="eastAsia"/>
          <w:szCs w:val="24"/>
        </w:rPr>
        <w:t>；</w:t>
      </w:r>
    </w:p>
    <w:p w14:paraId="29FAD270" w14:textId="77777777" w:rsidR="00C861B4" w:rsidRDefault="00C861B4" w:rsidP="00DE6192">
      <w:pPr>
        <w:pStyle w:val="a7"/>
        <w:spacing w:line="360" w:lineRule="auto"/>
        <w:ind w:leftChars="0" w:left="1560"/>
        <w:rPr>
          <w:rFonts w:asciiTheme="minorEastAsia" w:hAnsiTheme="minorEastAsia"/>
          <w:szCs w:val="24"/>
        </w:rPr>
      </w:pPr>
      <w:r>
        <w:rPr>
          <w:rFonts w:asciiTheme="minorEastAsia" w:hAnsiTheme="minorEastAsia" w:hint="eastAsia"/>
          <w:szCs w:val="24"/>
        </w:rPr>
        <w:t xml:space="preserve">          0</w:t>
      </w:r>
      <w:r>
        <w:rPr>
          <w:rFonts w:asciiTheme="minorEastAsia" w:hAnsiTheme="minorEastAsia"/>
          <w:szCs w:val="24"/>
        </w:rPr>
        <w:t>,</w:t>
      </w:r>
      <w:r>
        <w:rPr>
          <w:rFonts w:asciiTheme="minorEastAsia" w:hAnsiTheme="minorEastAsia" w:hint="eastAsia"/>
          <w:szCs w:val="24"/>
        </w:rPr>
        <w:t xml:space="preserve">　　　　i</w:t>
      </w:r>
      <w:r>
        <w:rPr>
          <w:rFonts w:asciiTheme="minorEastAsia" w:hAnsiTheme="minorEastAsia"/>
          <w:szCs w:val="24"/>
        </w:rPr>
        <w:t xml:space="preserve">f </w:t>
      </w:r>
      <w:r>
        <w:rPr>
          <w:rFonts w:asciiTheme="minorEastAsia" w:hAnsiTheme="minorEastAsia" w:hint="eastAsia"/>
          <w:szCs w:val="24"/>
        </w:rPr>
        <w:t>S</w:t>
      </w:r>
      <w:r>
        <w:rPr>
          <w:rFonts w:asciiTheme="minorEastAsia" w:hAnsiTheme="minorEastAsia"/>
          <w:szCs w:val="24"/>
        </w:rPr>
        <w:t xml:space="preserve"> = K</w:t>
      </w:r>
      <w:r>
        <w:rPr>
          <w:rFonts w:asciiTheme="minorEastAsia" w:hAnsiTheme="minorEastAsia" w:hint="eastAsia"/>
          <w:szCs w:val="24"/>
        </w:rPr>
        <w:t xml:space="preserve"> </w:t>
      </w:r>
      <w:r>
        <w:rPr>
          <w:rFonts w:asciiTheme="minorEastAsia" w:hAnsiTheme="minorEastAsia"/>
          <w:szCs w:val="24"/>
        </w:rPr>
        <w:t>(</w:t>
      </w:r>
      <w:r>
        <w:rPr>
          <w:rFonts w:asciiTheme="minorEastAsia" w:hAnsiTheme="minorEastAsia" w:hint="eastAsia"/>
          <w:szCs w:val="24"/>
        </w:rPr>
        <w:t>價平</w:t>
      </w:r>
      <w:r>
        <w:rPr>
          <w:rFonts w:asciiTheme="minorEastAsia" w:hAnsiTheme="minorEastAsia"/>
          <w:szCs w:val="24"/>
        </w:rPr>
        <w:t>)</w:t>
      </w:r>
      <w:r>
        <w:rPr>
          <w:rFonts w:asciiTheme="minorEastAsia" w:hAnsiTheme="minorEastAsia" w:hint="eastAsia"/>
          <w:szCs w:val="24"/>
        </w:rPr>
        <w:t>；</w:t>
      </w:r>
    </w:p>
    <w:p w14:paraId="38E61480" w14:textId="03610F4A" w:rsidR="00C861B4" w:rsidRPr="00C861B4" w:rsidRDefault="00C861B4" w:rsidP="00DE6192">
      <w:pPr>
        <w:pStyle w:val="a7"/>
        <w:spacing w:line="360" w:lineRule="auto"/>
        <w:ind w:leftChars="0" w:left="1560"/>
        <w:rPr>
          <w:rFonts w:asciiTheme="minorEastAsia" w:hAnsiTheme="minorEastAsia" w:hint="eastAsia"/>
          <w:szCs w:val="24"/>
        </w:rPr>
      </w:pPr>
      <w:r>
        <w:rPr>
          <w:rFonts w:asciiTheme="minorEastAsia" w:hAnsiTheme="minorEastAsia" w:hint="eastAsia"/>
          <w:szCs w:val="24"/>
        </w:rPr>
        <w:t xml:space="preserve">　　　　　</w:t>
      </w:r>
      <w:r w:rsidRPr="004E10BC">
        <w:rPr>
          <w:rFonts w:asciiTheme="minorEastAsia" w:hAnsiTheme="minorEastAsia" w:hint="eastAsia"/>
          <w:szCs w:val="24"/>
        </w:rPr>
        <w:t>0</w:t>
      </w:r>
      <w:r w:rsidRPr="004E10BC">
        <w:rPr>
          <w:rFonts w:asciiTheme="minorEastAsia" w:hAnsiTheme="minorEastAsia"/>
          <w:szCs w:val="24"/>
        </w:rPr>
        <w:t>,</w:t>
      </w:r>
      <w:r w:rsidRPr="004E10BC">
        <w:rPr>
          <w:rFonts w:asciiTheme="minorEastAsia" w:hAnsiTheme="minorEastAsia" w:hint="eastAsia"/>
          <w:szCs w:val="24"/>
        </w:rPr>
        <w:t xml:space="preserve">　　　　i</w:t>
      </w:r>
      <w:r w:rsidRPr="004E10BC">
        <w:rPr>
          <w:rFonts w:asciiTheme="minorEastAsia" w:hAnsiTheme="minorEastAsia"/>
          <w:szCs w:val="24"/>
        </w:rPr>
        <w:t xml:space="preserve">f </w:t>
      </w:r>
      <w:r w:rsidRPr="004E10BC">
        <w:rPr>
          <w:rFonts w:asciiTheme="minorEastAsia" w:hAnsiTheme="minorEastAsia" w:hint="eastAsia"/>
          <w:szCs w:val="24"/>
        </w:rPr>
        <w:t>S</w:t>
      </w:r>
      <w:r w:rsidRPr="004E10BC">
        <w:rPr>
          <w:rFonts w:asciiTheme="minorEastAsia" w:hAnsiTheme="minorEastAsia"/>
          <w:szCs w:val="24"/>
        </w:rPr>
        <w:t xml:space="preserve"> </w:t>
      </w:r>
      <w:r>
        <w:rPr>
          <w:rFonts w:asciiTheme="minorEastAsia" w:hAnsiTheme="minorEastAsia" w:hint="eastAsia"/>
          <w:szCs w:val="24"/>
        </w:rPr>
        <w:t>&gt;</w:t>
      </w:r>
      <w:r>
        <w:rPr>
          <w:rFonts w:asciiTheme="minorEastAsia" w:hAnsiTheme="minorEastAsia"/>
          <w:szCs w:val="24"/>
        </w:rPr>
        <w:t xml:space="preserve"> </w:t>
      </w:r>
      <w:r w:rsidRPr="004E10BC">
        <w:rPr>
          <w:rFonts w:asciiTheme="minorEastAsia" w:hAnsiTheme="minorEastAsia"/>
          <w:szCs w:val="24"/>
        </w:rPr>
        <w:t>K</w:t>
      </w:r>
      <w:r w:rsidRPr="004E10BC">
        <w:rPr>
          <w:rFonts w:asciiTheme="minorEastAsia" w:hAnsiTheme="minorEastAsia" w:hint="eastAsia"/>
          <w:szCs w:val="24"/>
        </w:rPr>
        <w:t xml:space="preserve"> </w:t>
      </w:r>
      <w:r w:rsidRPr="004E10BC">
        <w:rPr>
          <w:rFonts w:asciiTheme="minorEastAsia" w:hAnsiTheme="minorEastAsia"/>
          <w:szCs w:val="24"/>
        </w:rPr>
        <w:t>(</w:t>
      </w:r>
      <w:r w:rsidRPr="004E10BC">
        <w:rPr>
          <w:rFonts w:asciiTheme="minorEastAsia" w:hAnsiTheme="minorEastAsia" w:hint="eastAsia"/>
          <w:szCs w:val="24"/>
        </w:rPr>
        <w:t>價</w:t>
      </w:r>
      <w:r>
        <w:rPr>
          <w:rFonts w:asciiTheme="minorEastAsia" w:hAnsiTheme="minorEastAsia" w:hint="eastAsia"/>
          <w:szCs w:val="24"/>
        </w:rPr>
        <w:t>內</w:t>
      </w:r>
      <w:r w:rsidRPr="004E10BC">
        <w:rPr>
          <w:rFonts w:asciiTheme="minorEastAsia" w:hAnsiTheme="minorEastAsia"/>
          <w:szCs w:val="24"/>
        </w:rPr>
        <w:t>)</w:t>
      </w:r>
      <w:r w:rsidRPr="004E10BC">
        <w:rPr>
          <w:rFonts w:asciiTheme="minorEastAsia" w:hAnsiTheme="minorEastAsia" w:hint="eastAsia"/>
          <w:szCs w:val="24"/>
        </w:rPr>
        <w:t>；</w:t>
      </w:r>
    </w:p>
    <w:p w14:paraId="1D9F2182" w14:textId="04D0AD15" w:rsidR="002B6F15" w:rsidRDefault="002B6F15" w:rsidP="002B6F15">
      <w:pPr>
        <w:pStyle w:val="a7"/>
        <w:numPr>
          <w:ilvl w:val="0"/>
          <w:numId w:val="12"/>
        </w:numPr>
        <w:ind w:leftChars="0"/>
        <w:rPr>
          <w:rFonts w:ascii="標楷體" w:eastAsia="標楷體" w:hAnsi="標楷體"/>
          <w:b/>
          <w:bCs/>
          <w:sz w:val="32"/>
          <w:szCs w:val="32"/>
        </w:rPr>
      </w:pPr>
      <w:r>
        <w:rPr>
          <w:rFonts w:ascii="標楷體" w:eastAsia="標楷體" w:hAnsi="標楷體" w:hint="eastAsia"/>
          <w:b/>
          <w:bCs/>
          <w:sz w:val="32"/>
          <w:szCs w:val="32"/>
        </w:rPr>
        <w:lastRenderedPageBreak/>
        <w:t>賣權之投機功能</w:t>
      </w:r>
    </w:p>
    <w:p w14:paraId="548CB7CC" w14:textId="78901082" w:rsidR="00C861B4" w:rsidRPr="00C861B4" w:rsidRDefault="00C861B4" w:rsidP="00DE6192">
      <w:pPr>
        <w:pStyle w:val="a7"/>
        <w:spacing w:line="360" w:lineRule="auto"/>
        <w:ind w:leftChars="0" w:left="1560"/>
        <w:rPr>
          <w:rFonts w:asciiTheme="majorEastAsia" w:eastAsiaTheme="majorEastAsia" w:hAnsiTheme="majorEastAsia" w:hint="eastAsia"/>
          <w:szCs w:val="24"/>
        </w:rPr>
      </w:pPr>
      <w:r>
        <w:rPr>
          <w:rFonts w:asciiTheme="majorEastAsia" w:eastAsiaTheme="majorEastAsia" w:hAnsiTheme="majorEastAsia" w:hint="eastAsia"/>
          <w:szCs w:val="24"/>
        </w:rPr>
        <w:t>相較與買權，賣</w:t>
      </w:r>
      <w:r>
        <w:rPr>
          <w:rFonts w:asciiTheme="majorEastAsia" w:eastAsiaTheme="majorEastAsia" w:hAnsiTheme="majorEastAsia" w:hint="eastAsia"/>
          <w:szCs w:val="24"/>
        </w:rPr>
        <w:t>權的</w:t>
      </w:r>
      <w:proofErr w:type="spellStart"/>
      <w:r>
        <w:rPr>
          <w:rFonts w:asciiTheme="majorEastAsia" w:eastAsiaTheme="majorEastAsia" w:hAnsiTheme="majorEastAsia" w:hint="eastAsia"/>
          <w:szCs w:val="24"/>
        </w:rPr>
        <w:t>EVc</w:t>
      </w:r>
      <w:proofErr w:type="spellEnd"/>
      <w:r>
        <w:rPr>
          <w:rFonts w:asciiTheme="majorEastAsia" w:eastAsiaTheme="majorEastAsia" w:hAnsiTheme="majorEastAsia" w:hint="eastAsia"/>
          <w:szCs w:val="24"/>
        </w:rPr>
        <w:t>會隨標的物</w:t>
      </w:r>
      <w:r>
        <w:rPr>
          <w:rFonts w:asciiTheme="majorEastAsia" w:eastAsiaTheme="majorEastAsia" w:hAnsiTheme="majorEastAsia" w:hint="eastAsia"/>
          <w:szCs w:val="24"/>
        </w:rPr>
        <w:t>跌價</w:t>
      </w:r>
      <w:r>
        <w:rPr>
          <w:rFonts w:asciiTheme="majorEastAsia" w:eastAsiaTheme="majorEastAsia" w:hAnsiTheme="majorEastAsia" w:hint="eastAsia"/>
          <w:szCs w:val="24"/>
        </w:rPr>
        <w:t>而上升，在標的物的價格</w:t>
      </w:r>
      <w:r>
        <w:rPr>
          <w:rFonts w:asciiTheme="majorEastAsia" w:eastAsiaTheme="majorEastAsia" w:hAnsiTheme="majorEastAsia" w:hint="eastAsia"/>
          <w:szCs w:val="24"/>
        </w:rPr>
        <w:t>高</w:t>
      </w:r>
      <w:r>
        <w:rPr>
          <w:rFonts w:asciiTheme="majorEastAsia" w:eastAsiaTheme="majorEastAsia" w:hAnsiTheme="majorEastAsia" w:hint="eastAsia"/>
          <w:szCs w:val="24"/>
        </w:rPr>
        <w:t>於K時，具有權利者可以選擇不行使其權利依照K</w:t>
      </w:r>
      <w:r>
        <w:rPr>
          <w:rFonts w:asciiTheme="majorEastAsia" w:eastAsiaTheme="majorEastAsia" w:hAnsiTheme="majorEastAsia" w:hint="eastAsia"/>
          <w:szCs w:val="24"/>
        </w:rPr>
        <w:t>賣出</w:t>
      </w:r>
      <w:r>
        <w:rPr>
          <w:rFonts w:asciiTheme="majorEastAsia" w:eastAsiaTheme="majorEastAsia" w:hAnsiTheme="majorEastAsia" w:hint="eastAsia"/>
          <w:szCs w:val="24"/>
        </w:rPr>
        <w:t>標的物</w:t>
      </w:r>
      <w:r w:rsidRPr="00C861B4">
        <w:rPr>
          <w:rFonts w:asciiTheme="majorEastAsia" w:eastAsiaTheme="majorEastAsia" w:hAnsiTheme="majorEastAsia" w:hint="eastAsia"/>
          <w:szCs w:val="24"/>
        </w:rPr>
        <w:t>，</w:t>
      </w:r>
      <w:r>
        <w:rPr>
          <w:rFonts w:asciiTheme="majorEastAsia" w:eastAsiaTheme="majorEastAsia" w:hAnsiTheme="majorEastAsia" w:hint="eastAsia"/>
          <w:szCs w:val="24"/>
        </w:rPr>
        <w:t>而標的物之跌價最低為0，</w:t>
      </w:r>
      <w:r w:rsidRPr="00C861B4">
        <w:rPr>
          <w:rFonts w:asciiTheme="majorEastAsia" w:eastAsiaTheme="majorEastAsia" w:hAnsiTheme="majorEastAsia" w:hint="eastAsia"/>
          <w:szCs w:val="24"/>
        </w:rPr>
        <w:t>因此具有獲利</w:t>
      </w:r>
      <w:r>
        <w:rPr>
          <w:rFonts w:asciiTheme="majorEastAsia" w:eastAsiaTheme="majorEastAsia" w:hAnsiTheme="majorEastAsia" w:hint="eastAsia"/>
          <w:szCs w:val="24"/>
        </w:rPr>
        <w:t>有限、風險也有限之</w:t>
      </w:r>
      <w:r w:rsidRPr="00C861B4">
        <w:rPr>
          <w:rFonts w:asciiTheme="majorEastAsia" w:eastAsiaTheme="majorEastAsia" w:hAnsiTheme="majorEastAsia" w:hint="eastAsia"/>
          <w:szCs w:val="24"/>
        </w:rPr>
        <w:t>性質。</w:t>
      </w:r>
    </w:p>
    <w:p w14:paraId="2F1A3D3F" w14:textId="24F88983" w:rsidR="002B6F15" w:rsidRDefault="002B6F15" w:rsidP="002B6F15">
      <w:pPr>
        <w:pStyle w:val="a7"/>
        <w:numPr>
          <w:ilvl w:val="0"/>
          <w:numId w:val="12"/>
        </w:numPr>
        <w:ind w:leftChars="0"/>
        <w:rPr>
          <w:rFonts w:ascii="標楷體" w:eastAsia="標楷體" w:hAnsi="標楷體"/>
          <w:b/>
          <w:bCs/>
          <w:sz w:val="32"/>
          <w:szCs w:val="32"/>
        </w:rPr>
      </w:pPr>
      <w:r>
        <w:rPr>
          <w:rFonts w:ascii="標楷體" w:eastAsia="標楷體" w:hAnsi="標楷體" w:hint="eastAsia"/>
          <w:b/>
          <w:bCs/>
          <w:sz w:val="32"/>
          <w:szCs w:val="32"/>
        </w:rPr>
        <w:t>買點與賣點之設定</w:t>
      </w:r>
    </w:p>
    <w:p w14:paraId="29F0AC5A" w14:textId="45C68583" w:rsidR="00014366" w:rsidRDefault="00DE6192" w:rsidP="00004E5D">
      <w:pPr>
        <w:pStyle w:val="a7"/>
        <w:spacing w:line="360" w:lineRule="auto"/>
        <w:ind w:leftChars="0" w:left="1560"/>
        <w:rPr>
          <w:rFonts w:asciiTheme="majorEastAsia" w:eastAsiaTheme="majorEastAsia" w:hAnsiTheme="majorEastAsia"/>
          <w:szCs w:val="24"/>
        </w:rPr>
      </w:pPr>
      <w:r>
        <w:rPr>
          <w:rFonts w:asciiTheme="majorEastAsia" w:eastAsiaTheme="majorEastAsia" w:hAnsiTheme="majorEastAsia" w:hint="eastAsia"/>
          <w:szCs w:val="24"/>
        </w:rPr>
        <w:t>放空選擇權具有對標的物設定買點或賣點之功能，若投資者想在現貨市場買進標的物，卻覺得目前價格太高，可先出售價外賣權，履約價為投資者</w:t>
      </w:r>
      <w:r w:rsidR="00004E5D">
        <w:rPr>
          <w:rFonts w:asciiTheme="majorEastAsia" w:eastAsiaTheme="majorEastAsia" w:hAnsiTheme="majorEastAsia" w:hint="eastAsia"/>
          <w:szCs w:val="24"/>
        </w:rPr>
        <w:t>所想買進標的物之價格。反之，投資者想在現貨市場賣出標的物，卻覺得目前價格太低，可先出售價外買權，履約價為投資者所想賣出標的物之價格。</w:t>
      </w:r>
    </w:p>
    <w:p w14:paraId="6BFCC888" w14:textId="4F83292F" w:rsidR="00004E5D" w:rsidRPr="00004E5D" w:rsidRDefault="00004E5D" w:rsidP="00004E5D">
      <w:pPr>
        <w:pStyle w:val="a7"/>
        <w:numPr>
          <w:ilvl w:val="0"/>
          <w:numId w:val="1"/>
        </w:numPr>
        <w:spacing w:line="360" w:lineRule="auto"/>
        <w:ind w:leftChars="0"/>
        <w:rPr>
          <w:rFonts w:ascii="標楷體" w:eastAsia="標楷體" w:hAnsi="標楷體"/>
          <w:b/>
          <w:bCs/>
          <w:sz w:val="32"/>
          <w:szCs w:val="32"/>
        </w:rPr>
      </w:pPr>
      <w:r w:rsidRPr="00004E5D">
        <w:rPr>
          <w:rFonts w:ascii="標楷體" w:eastAsia="標楷體" w:hAnsi="標楷體" w:hint="eastAsia"/>
          <w:b/>
          <w:bCs/>
          <w:sz w:val="32"/>
          <w:szCs w:val="32"/>
        </w:rPr>
        <w:t>問題</w:t>
      </w:r>
    </w:p>
    <w:p w14:paraId="3120B9C3" w14:textId="0303EE6D" w:rsidR="00004E5D" w:rsidRDefault="006B723A" w:rsidP="00004E5D">
      <w:pPr>
        <w:pStyle w:val="a7"/>
        <w:numPr>
          <w:ilvl w:val="0"/>
          <w:numId w:val="14"/>
        </w:numPr>
        <w:spacing w:line="360" w:lineRule="auto"/>
        <w:ind w:leftChars="0"/>
        <w:rPr>
          <w:rFonts w:ascii="標楷體" w:eastAsia="標楷體" w:hAnsi="標楷體"/>
          <w:b/>
          <w:bCs/>
          <w:sz w:val="32"/>
          <w:szCs w:val="32"/>
        </w:rPr>
      </w:pPr>
      <w:r>
        <w:rPr>
          <w:rFonts w:ascii="標楷體" w:eastAsia="標楷體" w:hAnsi="標楷體" w:hint="eastAsia"/>
          <w:b/>
          <w:bCs/>
          <w:sz w:val="32"/>
          <w:szCs w:val="32"/>
        </w:rPr>
        <w:t>大</w:t>
      </w:r>
      <w:r w:rsidR="00004E5D">
        <w:rPr>
          <w:rFonts w:ascii="標楷體" w:eastAsia="標楷體" w:hAnsi="標楷體" w:hint="eastAsia"/>
          <w:b/>
          <w:bCs/>
          <w:sz w:val="32"/>
          <w:szCs w:val="32"/>
        </w:rPr>
        <w:t>台指與</w:t>
      </w:r>
      <w:r>
        <w:rPr>
          <w:rFonts w:ascii="標楷體" w:eastAsia="標楷體" w:hAnsi="標楷體" w:hint="eastAsia"/>
          <w:b/>
          <w:bCs/>
          <w:sz w:val="32"/>
          <w:szCs w:val="32"/>
        </w:rPr>
        <w:t>小</w:t>
      </w:r>
      <w:r w:rsidR="00004E5D">
        <w:rPr>
          <w:rFonts w:ascii="標楷體" w:eastAsia="標楷體" w:hAnsi="標楷體" w:hint="eastAsia"/>
          <w:b/>
          <w:bCs/>
          <w:sz w:val="32"/>
          <w:szCs w:val="32"/>
        </w:rPr>
        <w:t>台指之區別？</w:t>
      </w:r>
    </w:p>
    <w:p w14:paraId="4D2E5538" w14:textId="77C27700" w:rsidR="006B723A" w:rsidRDefault="006B723A" w:rsidP="006B723A">
      <w:pPr>
        <w:pStyle w:val="a7"/>
        <w:spacing w:line="360" w:lineRule="auto"/>
        <w:ind w:leftChars="0" w:left="1200"/>
        <w:rPr>
          <w:rFonts w:asciiTheme="minorEastAsia" w:hAnsiTheme="minorEastAsia"/>
          <w:szCs w:val="24"/>
        </w:rPr>
      </w:pPr>
      <w:r>
        <w:rPr>
          <w:rFonts w:asciiTheme="minorEastAsia" w:hAnsiTheme="minorEastAsia" w:hint="eastAsia"/>
          <w:szCs w:val="24"/>
        </w:rPr>
        <w:t>兩者的交易標的皆為台股加權指數。前者之英文代碼為TX，後者則為MTX；前者每點2</w:t>
      </w:r>
      <w:r>
        <w:rPr>
          <w:rFonts w:asciiTheme="minorEastAsia" w:hAnsiTheme="minorEastAsia"/>
          <w:szCs w:val="24"/>
        </w:rPr>
        <w:t>00</w:t>
      </w:r>
      <w:r>
        <w:rPr>
          <w:rFonts w:asciiTheme="minorEastAsia" w:hAnsiTheme="minorEastAsia" w:hint="eastAsia"/>
          <w:szCs w:val="24"/>
        </w:rPr>
        <w:t>元，後者5</w:t>
      </w:r>
      <w:r>
        <w:rPr>
          <w:rFonts w:asciiTheme="minorEastAsia" w:hAnsiTheme="minorEastAsia"/>
          <w:szCs w:val="24"/>
        </w:rPr>
        <w:t>0</w:t>
      </w:r>
      <w:r>
        <w:rPr>
          <w:rFonts w:asciiTheme="minorEastAsia" w:hAnsiTheme="minorEastAsia" w:hint="eastAsia"/>
          <w:szCs w:val="24"/>
        </w:rPr>
        <w:t>元</w:t>
      </w:r>
      <w:r>
        <w:rPr>
          <w:rFonts w:asciiTheme="minorEastAsia" w:hAnsiTheme="minorEastAsia"/>
          <w:szCs w:val="24"/>
        </w:rPr>
        <w:t xml:space="preserve"> </w:t>
      </w:r>
      <w:r>
        <w:rPr>
          <w:rFonts w:asciiTheme="minorEastAsia" w:hAnsiTheme="minorEastAsia" w:hint="eastAsia"/>
          <w:szCs w:val="24"/>
        </w:rPr>
        <w:t>。台指期的每日漲幅限制以前一天收盤的</w:t>
      </w:r>
      <w:r w:rsidRPr="006B723A">
        <w:rPr>
          <w:rFonts w:asciiTheme="minorEastAsia" w:hAnsiTheme="minorEastAsia"/>
          <w:szCs w:val="24"/>
        </w:rPr>
        <w:t>±7%</w:t>
      </w:r>
      <w:r>
        <w:rPr>
          <w:rFonts w:asciiTheme="minorEastAsia" w:hAnsiTheme="minorEastAsia" w:hint="eastAsia"/>
          <w:szCs w:val="24"/>
        </w:rPr>
        <w:t>。</w:t>
      </w:r>
    </w:p>
    <w:p w14:paraId="7A5C241F" w14:textId="391DC50D" w:rsidR="006B723A" w:rsidRPr="004E32BE" w:rsidRDefault="004E32BE" w:rsidP="004E32BE">
      <w:pPr>
        <w:pStyle w:val="a7"/>
        <w:numPr>
          <w:ilvl w:val="0"/>
          <w:numId w:val="14"/>
        </w:numPr>
        <w:spacing w:line="360" w:lineRule="auto"/>
        <w:ind w:leftChars="0"/>
        <w:rPr>
          <w:rFonts w:ascii="標楷體" w:eastAsia="標楷體" w:hAnsi="標楷體"/>
          <w:b/>
          <w:bCs/>
          <w:sz w:val="32"/>
          <w:szCs w:val="32"/>
        </w:rPr>
      </w:pPr>
      <w:r w:rsidRPr="004E32BE">
        <w:rPr>
          <w:rFonts w:ascii="標楷體" w:eastAsia="標楷體" w:hAnsi="標楷體" w:hint="eastAsia"/>
          <w:b/>
          <w:bCs/>
          <w:sz w:val="32"/>
          <w:szCs w:val="32"/>
        </w:rPr>
        <w:t>有價證券定義</w:t>
      </w:r>
    </w:p>
    <w:p w14:paraId="585B3D37" w14:textId="77777777" w:rsidR="004E32BE" w:rsidRDefault="004E32BE" w:rsidP="004E32BE">
      <w:pPr>
        <w:pStyle w:val="a7"/>
        <w:spacing w:line="360" w:lineRule="auto"/>
        <w:ind w:leftChars="0" w:left="1200"/>
      </w:pPr>
      <w:r>
        <w:t>一般概念之有價證券係指具有財產性質之證券</w:t>
      </w:r>
      <w:r>
        <w:rPr>
          <w:rFonts w:hint="eastAsia"/>
        </w:rPr>
        <w:t>。</w:t>
      </w:r>
      <w:r>
        <w:t>證券交易法</w:t>
      </w:r>
      <w:r>
        <w:rPr>
          <w:rFonts w:hint="eastAsia"/>
        </w:rPr>
        <w:t>（</w:t>
      </w:r>
      <w:r>
        <w:t>下稱本法</w:t>
      </w:r>
      <w:r>
        <w:rPr>
          <w:rFonts w:hint="eastAsia"/>
        </w:rPr>
        <w:t>）</w:t>
      </w:r>
      <w:r>
        <w:t>有價證券首重流通性與投資性</w:t>
      </w:r>
      <w:r>
        <w:rPr>
          <w:rFonts w:hint="eastAsia"/>
        </w:rPr>
        <w:t>，</w:t>
      </w:r>
      <w:r>
        <w:t>即資本性證券</w:t>
      </w:r>
      <w:r>
        <w:rPr>
          <w:rFonts w:hint="eastAsia"/>
        </w:rPr>
        <w:t>。</w:t>
      </w:r>
      <w:r>
        <w:t>在定義上證交法第六條採有限列舉</w:t>
      </w:r>
      <w:r>
        <w:rPr>
          <w:rFonts w:hint="eastAsia"/>
        </w:rPr>
        <w:t>、</w:t>
      </w:r>
      <w:r>
        <w:t>概括授權之立法方式</w:t>
      </w:r>
      <w:r>
        <w:rPr>
          <w:rFonts w:hint="eastAsia"/>
        </w:rPr>
        <w:t>。</w:t>
      </w:r>
      <w:r>
        <w:t>本法第六條規定</w:t>
      </w:r>
      <w:r>
        <w:t>:</w:t>
      </w:r>
    </w:p>
    <w:p w14:paraId="6B71BD05" w14:textId="77777777" w:rsidR="004E32BE" w:rsidRDefault="004E32BE" w:rsidP="004E32BE">
      <w:pPr>
        <w:pStyle w:val="a7"/>
        <w:spacing w:line="360" w:lineRule="auto"/>
        <w:ind w:leftChars="0" w:left="1200"/>
      </w:pPr>
      <w:r>
        <w:t>第一項</w:t>
      </w:r>
      <w:r>
        <w:rPr>
          <w:rFonts w:hint="eastAsia"/>
        </w:rPr>
        <w:t>、</w:t>
      </w:r>
      <w:r>
        <w:t>本法所稱有價證券</w:t>
      </w:r>
      <w:r>
        <w:rPr>
          <w:rFonts w:hint="eastAsia"/>
        </w:rPr>
        <w:t>，</w:t>
      </w:r>
      <w:r>
        <w:t>指政府債券</w:t>
      </w:r>
      <w:r>
        <w:rPr>
          <w:rFonts w:hint="eastAsia"/>
        </w:rPr>
        <w:t>、</w:t>
      </w:r>
      <w:r>
        <w:t>公司股票</w:t>
      </w:r>
      <w:r>
        <w:rPr>
          <w:rFonts w:hint="eastAsia"/>
        </w:rPr>
        <w:t>、</w:t>
      </w:r>
      <w:r>
        <w:t>公司債券及經主管機關核定之其他有價證券</w:t>
      </w:r>
      <w:r>
        <w:rPr>
          <w:rFonts w:hint="eastAsia"/>
        </w:rPr>
        <w:t>。</w:t>
      </w:r>
    </w:p>
    <w:p w14:paraId="2B6910F7" w14:textId="77777777" w:rsidR="004E32BE" w:rsidRDefault="004E32BE" w:rsidP="004E32BE">
      <w:pPr>
        <w:pStyle w:val="a7"/>
        <w:spacing w:line="360" w:lineRule="auto"/>
        <w:ind w:leftChars="0" w:left="1200"/>
      </w:pPr>
      <w:r>
        <w:t>第二項</w:t>
      </w:r>
      <w:r>
        <w:rPr>
          <w:rFonts w:hint="eastAsia"/>
        </w:rPr>
        <w:t>、</w:t>
      </w:r>
      <w:r>
        <w:t>新股認購權利證書</w:t>
      </w:r>
      <w:r>
        <w:rPr>
          <w:rFonts w:hint="eastAsia"/>
        </w:rPr>
        <w:t>、</w:t>
      </w:r>
      <w:r>
        <w:t>新股權利證書及前項各種有價證券之價款繳納憑證或表明其權利之證書</w:t>
      </w:r>
      <w:r>
        <w:rPr>
          <w:rFonts w:hint="eastAsia"/>
        </w:rPr>
        <w:t>，</w:t>
      </w:r>
      <w:r>
        <w:t>視為有價證券</w:t>
      </w:r>
      <w:r>
        <w:rPr>
          <w:rFonts w:hint="eastAsia"/>
        </w:rPr>
        <w:t>。</w:t>
      </w:r>
    </w:p>
    <w:p w14:paraId="371B9B33" w14:textId="74D552D9" w:rsidR="004E32BE" w:rsidRPr="004E32BE" w:rsidRDefault="004E32BE" w:rsidP="004E32BE">
      <w:pPr>
        <w:pStyle w:val="a7"/>
        <w:spacing w:line="360" w:lineRule="auto"/>
        <w:ind w:leftChars="0" w:left="1200"/>
        <w:rPr>
          <w:rFonts w:ascii="標楷體" w:eastAsia="標楷體" w:hAnsi="標楷體" w:hint="eastAsia"/>
          <w:b/>
          <w:bCs/>
          <w:sz w:val="32"/>
          <w:szCs w:val="32"/>
        </w:rPr>
      </w:pPr>
      <w:r>
        <w:lastRenderedPageBreak/>
        <w:t>第三項</w:t>
      </w:r>
      <w:r>
        <w:rPr>
          <w:rFonts w:hint="eastAsia"/>
        </w:rPr>
        <w:t>、</w:t>
      </w:r>
      <w:r>
        <w:t>前二項規定之有價證券</w:t>
      </w:r>
      <w:r>
        <w:rPr>
          <w:rFonts w:hint="eastAsia"/>
        </w:rPr>
        <w:t>，</w:t>
      </w:r>
      <w:r>
        <w:t>未印製表示其權利之實體有價證券者</w:t>
      </w:r>
      <w:r>
        <w:rPr>
          <w:rFonts w:hint="eastAsia"/>
        </w:rPr>
        <w:t>，</w:t>
      </w:r>
      <w:r>
        <w:t>亦視為有價證券</w:t>
      </w:r>
      <w:r>
        <w:rPr>
          <w:rFonts w:hint="eastAsia"/>
        </w:rPr>
        <w:t>。</w:t>
      </w:r>
    </w:p>
    <w:p w14:paraId="4F99ED7D" w14:textId="285959A9" w:rsidR="00004E5D" w:rsidRDefault="00004E5D" w:rsidP="00004E5D">
      <w:pPr>
        <w:pStyle w:val="a7"/>
        <w:numPr>
          <w:ilvl w:val="0"/>
          <w:numId w:val="1"/>
        </w:numPr>
        <w:spacing w:line="360" w:lineRule="auto"/>
        <w:ind w:leftChars="0"/>
        <w:rPr>
          <w:rFonts w:ascii="標楷體" w:eastAsia="標楷體" w:hAnsi="標楷體"/>
          <w:b/>
          <w:bCs/>
          <w:sz w:val="32"/>
          <w:szCs w:val="32"/>
        </w:rPr>
      </w:pPr>
      <w:r w:rsidRPr="00004E5D">
        <w:rPr>
          <w:rFonts w:ascii="標楷體" w:eastAsia="標楷體" w:hAnsi="標楷體" w:hint="eastAsia"/>
          <w:b/>
          <w:bCs/>
          <w:sz w:val="32"/>
          <w:szCs w:val="32"/>
        </w:rPr>
        <w:t>程式碼</w:t>
      </w:r>
    </w:p>
    <w:p w14:paraId="06D177BF" w14:textId="1A8B7BBA" w:rsidR="00CC700B" w:rsidRDefault="00310A75" w:rsidP="00310A75">
      <w:pPr>
        <w:pStyle w:val="a7"/>
        <w:numPr>
          <w:ilvl w:val="0"/>
          <w:numId w:val="15"/>
        </w:numPr>
        <w:spacing w:line="360" w:lineRule="auto"/>
        <w:ind w:leftChars="0"/>
        <w:rPr>
          <w:rFonts w:ascii="標楷體" w:eastAsia="標楷體" w:hAnsi="標楷體"/>
          <w:b/>
          <w:bCs/>
          <w:sz w:val="32"/>
          <w:szCs w:val="32"/>
        </w:rPr>
      </w:pPr>
      <w:r>
        <w:rPr>
          <w:rFonts w:ascii="標楷體" w:eastAsia="標楷體" w:hAnsi="標楷體" w:hint="eastAsia"/>
          <w:b/>
          <w:bCs/>
          <w:sz w:val="32"/>
          <w:szCs w:val="32"/>
        </w:rPr>
        <w:t>H</w:t>
      </w:r>
      <w:r>
        <w:rPr>
          <w:rFonts w:ascii="標楷體" w:eastAsia="標楷體" w:hAnsi="標楷體"/>
          <w:b/>
          <w:bCs/>
          <w:sz w:val="32"/>
          <w:szCs w:val="32"/>
        </w:rPr>
        <w:t>W1(</w:t>
      </w:r>
      <w:proofErr w:type="spellStart"/>
      <w:r>
        <w:rPr>
          <w:rFonts w:ascii="標楷體" w:eastAsia="標楷體" w:hAnsi="標楷體"/>
          <w:b/>
          <w:bCs/>
          <w:sz w:val="32"/>
          <w:szCs w:val="32"/>
        </w:rPr>
        <w:t>pv_script</w:t>
      </w:r>
      <w:proofErr w:type="spellEnd"/>
      <w:r>
        <w:rPr>
          <w:rFonts w:ascii="標楷體" w:eastAsia="標楷體" w:hAnsi="標楷體"/>
          <w:b/>
          <w:bCs/>
          <w:sz w:val="32"/>
          <w:szCs w:val="32"/>
        </w:rPr>
        <w:t>)</w:t>
      </w:r>
    </w:p>
    <w:p w14:paraId="741658AC" w14:textId="5F8784EA" w:rsidR="00310A75" w:rsidRDefault="00310A75" w:rsidP="00310A75">
      <w:pPr>
        <w:pStyle w:val="a7"/>
        <w:spacing w:line="360" w:lineRule="auto"/>
        <w:ind w:leftChars="0" w:left="1200"/>
        <w:rPr>
          <w:rFonts w:ascii="標楷體" w:eastAsia="標楷體" w:hAnsi="標楷體" w:hint="eastAsia"/>
          <w:b/>
          <w:bCs/>
          <w:sz w:val="32"/>
          <w:szCs w:val="32"/>
        </w:rPr>
      </w:pPr>
      <w:r>
        <w:rPr>
          <w:noProof/>
        </w:rPr>
        <w:drawing>
          <wp:inline distT="0" distB="0" distL="0" distR="0" wp14:anchorId="6D02EC1B" wp14:editId="78E1CE24">
            <wp:extent cx="5274310" cy="1974215"/>
            <wp:effectExtent l="0" t="0" r="2540" b="698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74215"/>
                    </a:xfrm>
                    <a:prstGeom prst="rect">
                      <a:avLst/>
                    </a:prstGeom>
                  </pic:spPr>
                </pic:pic>
              </a:graphicData>
            </a:graphic>
          </wp:inline>
        </w:drawing>
      </w:r>
    </w:p>
    <w:p w14:paraId="0F49676F" w14:textId="7B9A3469" w:rsidR="00310A75" w:rsidRDefault="00310A75" w:rsidP="00310A75">
      <w:pPr>
        <w:pStyle w:val="a7"/>
        <w:numPr>
          <w:ilvl w:val="0"/>
          <w:numId w:val="15"/>
        </w:numPr>
        <w:spacing w:line="360" w:lineRule="auto"/>
        <w:ind w:leftChars="0"/>
        <w:rPr>
          <w:rFonts w:ascii="標楷體" w:eastAsia="標楷體" w:hAnsi="標楷體"/>
          <w:b/>
          <w:bCs/>
          <w:sz w:val="32"/>
          <w:szCs w:val="32"/>
        </w:rPr>
      </w:pPr>
      <w:r>
        <w:rPr>
          <w:rFonts w:ascii="標楷體" w:eastAsia="標楷體" w:hAnsi="標楷體" w:hint="eastAsia"/>
          <w:b/>
          <w:bCs/>
          <w:sz w:val="32"/>
          <w:szCs w:val="32"/>
        </w:rPr>
        <w:t>H</w:t>
      </w:r>
      <w:r>
        <w:rPr>
          <w:rFonts w:ascii="標楷體" w:eastAsia="標楷體" w:hAnsi="標楷體"/>
          <w:b/>
          <w:bCs/>
          <w:sz w:val="32"/>
          <w:szCs w:val="32"/>
        </w:rPr>
        <w:t>W1(</w:t>
      </w:r>
      <w:proofErr w:type="spellStart"/>
      <w:r>
        <w:rPr>
          <w:rFonts w:ascii="標楷體" w:eastAsia="標楷體" w:hAnsi="標楷體"/>
          <w:b/>
          <w:bCs/>
          <w:sz w:val="32"/>
          <w:szCs w:val="32"/>
        </w:rPr>
        <w:t>pv_function</w:t>
      </w:r>
      <w:proofErr w:type="spellEnd"/>
      <w:r>
        <w:rPr>
          <w:rFonts w:ascii="標楷體" w:eastAsia="標楷體" w:hAnsi="標楷體"/>
          <w:b/>
          <w:bCs/>
          <w:sz w:val="32"/>
          <w:szCs w:val="32"/>
        </w:rPr>
        <w:t>)</w:t>
      </w:r>
    </w:p>
    <w:p w14:paraId="65D992A2" w14:textId="575494CA" w:rsidR="00310A75" w:rsidRDefault="00310A75" w:rsidP="00310A75">
      <w:pPr>
        <w:pStyle w:val="a7"/>
        <w:spacing w:line="360" w:lineRule="auto"/>
        <w:ind w:leftChars="0" w:left="1200"/>
        <w:rPr>
          <w:rFonts w:ascii="標楷體" w:eastAsia="標楷體" w:hAnsi="標楷體" w:hint="eastAsia"/>
          <w:b/>
          <w:bCs/>
          <w:sz w:val="32"/>
          <w:szCs w:val="32"/>
        </w:rPr>
      </w:pPr>
      <w:r w:rsidRPr="00310A75">
        <w:drawing>
          <wp:inline distT="0" distB="0" distL="0" distR="0" wp14:anchorId="62DCFD25" wp14:editId="1EAC3E42">
            <wp:extent cx="5274310" cy="720725"/>
            <wp:effectExtent l="0" t="0" r="2540" b="317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20725"/>
                    </a:xfrm>
                    <a:prstGeom prst="rect">
                      <a:avLst/>
                    </a:prstGeom>
                  </pic:spPr>
                </pic:pic>
              </a:graphicData>
            </a:graphic>
          </wp:inline>
        </w:drawing>
      </w:r>
    </w:p>
    <w:p w14:paraId="7CA0A56A" w14:textId="50DD1F7A" w:rsidR="00310A75" w:rsidRPr="00310A75" w:rsidRDefault="00310A75" w:rsidP="00310A75">
      <w:pPr>
        <w:pStyle w:val="a7"/>
        <w:spacing w:line="360" w:lineRule="auto"/>
        <w:ind w:leftChars="0" w:left="1200"/>
        <w:rPr>
          <w:rFonts w:ascii="標楷體" w:eastAsia="標楷體" w:hAnsi="標楷體" w:hint="eastAsia"/>
          <w:b/>
          <w:bCs/>
          <w:sz w:val="32"/>
          <w:szCs w:val="32"/>
        </w:rPr>
      </w:pPr>
      <w:r w:rsidRPr="00310A75">
        <w:drawing>
          <wp:inline distT="0" distB="0" distL="0" distR="0" wp14:anchorId="6540AF57" wp14:editId="5BFFFDBD">
            <wp:extent cx="5274310" cy="2176145"/>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76145"/>
                    </a:xfrm>
                    <a:prstGeom prst="rect">
                      <a:avLst/>
                    </a:prstGeom>
                  </pic:spPr>
                </pic:pic>
              </a:graphicData>
            </a:graphic>
          </wp:inline>
        </w:drawing>
      </w:r>
    </w:p>
    <w:p w14:paraId="1A3452BE" w14:textId="4E0D5952" w:rsidR="00310A75" w:rsidRDefault="00310A75" w:rsidP="00310A75">
      <w:pPr>
        <w:pStyle w:val="a7"/>
        <w:numPr>
          <w:ilvl w:val="0"/>
          <w:numId w:val="15"/>
        </w:numPr>
        <w:spacing w:line="360" w:lineRule="auto"/>
        <w:ind w:leftChars="0"/>
        <w:rPr>
          <w:rFonts w:ascii="標楷體" w:eastAsia="標楷體" w:hAnsi="標楷體"/>
          <w:b/>
          <w:bCs/>
          <w:sz w:val="32"/>
          <w:szCs w:val="32"/>
        </w:rPr>
      </w:pPr>
      <w:r>
        <w:rPr>
          <w:rFonts w:ascii="標楷體" w:eastAsia="標楷體" w:hAnsi="標楷體"/>
          <w:b/>
          <w:bCs/>
          <w:sz w:val="32"/>
          <w:szCs w:val="32"/>
        </w:rPr>
        <w:t>HW1(plot)</w:t>
      </w:r>
    </w:p>
    <w:p w14:paraId="71287BFF" w14:textId="4FE9E91C" w:rsidR="00310A75" w:rsidRDefault="00310A75" w:rsidP="00310A75">
      <w:pPr>
        <w:pStyle w:val="a7"/>
        <w:spacing w:line="360" w:lineRule="auto"/>
        <w:ind w:leftChars="0" w:left="1200"/>
        <w:rPr>
          <w:rFonts w:ascii="標楷體" w:eastAsia="標楷體" w:hAnsi="標楷體" w:hint="eastAsia"/>
          <w:b/>
          <w:bCs/>
          <w:sz w:val="32"/>
          <w:szCs w:val="32"/>
        </w:rPr>
      </w:pPr>
      <w:r w:rsidRPr="00310A75">
        <w:lastRenderedPageBreak/>
        <w:drawing>
          <wp:inline distT="0" distB="0" distL="0" distR="0" wp14:anchorId="5BA0AC5D" wp14:editId="39DF37F7">
            <wp:extent cx="5274310" cy="2329815"/>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29815"/>
                    </a:xfrm>
                    <a:prstGeom prst="rect">
                      <a:avLst/>
                    </a:prstGeom>
                  </pic:spPr>
                </pic:pic>
              </a:graphicData>
            </a:graphic>
          </wp:inline>
        </w:drawing>
      </w:r>
    </w:p>
    <w:p w14:paraId="58A4F429" w14:textId="4372BE6B" w:rsidR="00310A75" w:rsidRDefault="00310A75" w:rsidP="00310A75">
      <w:pPr>
        <w:pStyle w:val="a7"/>
        <w:numPr>
          <w:ilvl w:val="0"/>
          <w:numId w:val="15"/>
        </w:numPr>
        <w:spacing w:line="360" w:lineRule="auto"/>
        <w:ind w:leftChars="0"/>
        <w:rPr>
          <w:rFonts w:ascii="標楷體" w:eastAsia="標楷體" w:hAnsi="標楷體"/>
          <w:b/>
          <w:bCs/>
          <w:sz w:val="32"/>
          <w:szCs w:val="32"/>
        </w:rPr>
      </w:pPr>
      <w:r>
        <w:rPr>
          <w:rFonts w:ascii="標楷體" w:eastAsia="標楷體" w:hAnsi="標楷體" w:hint="eastAsia"/>
          <w:b/>
          <w:bCs/>
          <w:sz w:val="32"/>
          <w:szCs w:val="32"/>
        </w:rPr>
        <w:t>H</w:t>
      </w:r>
      <w:r>
        <w:rPr>
          <w:rFonts w:ascii="標楷體" w:eastAsia="標楷體" w:hAnsi="標楷體"/>
          <w:b/>
          <w:bCs/>
          <w:sz w:val="32"/>
          <w:szCs w:val="32"/>
        </w:rPr>
        <w:t>W2(BS Formula)</w:t>
      </w:r>
    </w:p>
    <w:p w14:paraId="6CF24414" w14:textId="0ED10184" w:rsidR="00310A75" w:rsidRPr="00310A75" w:rsidRDefault="00310A75" w:rsidP="00310A75">
      <w:pPr>
        <w:pStyle w:val="a7"/>
        <w:spacing w:line="360" w:lineRule="auto"/>
        <w:ind w:leftChars="0" w:left="1200"/>
        <w:rPr>
          <w:rFonts w:ascii="標楷體" w:eastAsia="標楷體" w:hAnsi="標楷體" w:hint="eastAsia"/>
          <w:b/>
          <w:bCs/>
          <w:sz w:val="32"/>
          <w:szCs w:val="32"/>
        </w:rPr>
      </w:pPr>
      <w:r>
        <w:rPr>
          <w:noProof/>
        </w:rPr>
        <w:drawing>
          <wp:inline distT="0" distB="0" distL="0" distR="0" wp14:anchorId="3F12D1BB" wp14:editId="38E599C6">
            <wp:extent cx="5274310" cy="903605"/>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03605"/>
                    </a:xfrm>
                    <a:prstGeom prst="rect">
                      <a:avLst/>
                    </a:prstGeom>
                  </pic:spPr>
                </pic:pic>
              </a:graphicData>
            </a:graphic>
          </wp:inline>
        </w:drawing>
      </w:r>
      <w:r w:rsidRPr="00310A75">
        <w:rPr>
          <w:noProof/>
        </w:rPr>
        <w:t xml:space="preserve"> </w:t>
      </w:r>
      <w:r>
        <w:rPr>
          <w:noProof/>
        </w:rPr>
        <w:drawing>
          <wp:inline distT="0" distB="0" distL="0" distR="0" wp14:anchorId="41192300" wp14:editId="321A324E">
            <wp:extent cx="5274310" cy="692785"/>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92785"/>
                    </a:xfrm>
                    <a:prstGeom prst="rect">
                      <a:avLst/>
                    </a:prstGeom>
                  </pic:spPr>
                </pic:pic>
              </a:graphicData>
            </a:graphic>
          </wp:inline>
        </w:drawing>
      </w:r>
      <w:r w:rsidRPr="00310A75">
        <w:rPr>
          <w:noProof/>
        </w:rPr>
        <w:t xml:space="preserve"> </w:t>
      </w:r>
      <w:r>
        <w:rPr>
          <w:noProof/>
        </w:rPr>
        <w:drawing>
          <wp:inline distT="0" distB="0" distL="0" distR="0" wp14:anchorId="4D90FBB2" wp14:editId="149DB78E">
            <wp:extent cx="5274310" cy="2193290"/>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93290"/>
                    </a:xfrm>
                    <a:prstGeom prst="rect">
                      <a:avLst/>
                    </a:prstGeom>
                  </pic:spPr>
                </pic:pic>
              </a:graphicData>
            </a:graphic>
          </wp:inline>
        </w:drawing>
      </w:r>
    </w:p>
    <w:sectPr w:rsidR="00310A75" w:rsidRPr="00310A75">
      <w:headerReference w:type="default" r:id="rId1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1E7C3F" w14:textId="77777777" w:rsidR="00C2662E" w:rsidRDefault="00C2662E" w:rsidP="001A54C8">
      <w:r>
        <w:separator/>
      </w:r>
    </w:p>
  </w:endnote>
  <w:endnote w:type="continuationSeparator" w:id="0">
    <w:p w14:paraId="0F4C8DB6" w14:textId="77777777" w:rsidR="00C2662E" w:rsidRDefault="00C2662E" w:rsidP="001A5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29158A" w14:textId="77777777" w:rsidR="00C2662E" w:rsidRDefault="00C2662E" w:rsidP="001A54C8">
      <w:r>
        <w:separator/>
      </w:r>
    </w:p>
  </w:footnote>
  <w:footnote w:type="continuationSeparator" w:id="0">
    <w:p w14:paraId="64B67869" w14:textId="77777777" w:rsidR="00C2662E" w:rsidRDefault="00C2662E" w:rsidP="001A54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10931" w14:textId="77777777" w:rsidR="001A54C8" w:rsidRDefault="001A54C8">
    <w:pPr>
      <w:pStyle w:val="a3"/>
    </w:pPr>
    <w:r>
      <w:tab/>
    </w:r>
    <w:r>
      <w:rPr>
        <w:rFonts w:hint="eastAsia"/>
      </w:rPr>
      <w:t xml:space="preserve">              </w:t>
    </w:r>
    <w:r>
      <w:tab/>
    </w:r>
    <w:r>
      <w:rPr>
        <w:rFonts w:hint="eastAsia"/>
      </w:rPr>
      <w:t xml:space="preserve">   1</w:t>
    </w:r>
    <w:r>
      <w:t xml:space="preserve">07071073 </w:t>
    </w:r>
    <w:r>
      <w:rPr>
        <w:rFonts w:hint="eastAsia"/>
      </w:rPr>
      <w:t>計財</w:t>
    </w:r>
    <w:r>
      <w:rPr>
        <w:rFonts w:hint="eastAsia"/>
      </w:rPr>
      <w:t>2</w:t>
    </w:r>
    <w:r>
      <w:t>2</w:t>
    </w:r>
    <w:r>
      <w:rPr>
        <w:rFonts w:hint="eastAsia"/>
      </w:rPr>
      <w:t xml:space="preserve"> </w:t>
    </w:r>
    <w:r>
      <w:rPr>
        <w:rFonts w:hint="eastAsia"/>
      </w:rPr>
      <w:t>林雅琪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D3B65"/>
    <w:multiLevelType w:val="hybridMultilevel"/>
    <w:tmpl w:val="ED3CC572"/>
    <w:lvl w:ilvl="0" w:tplc="4C7CBC70">
      <w:start w:val="1"/>
      <w:numFmt w:val="ideographLegalTraditional"/>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70E651A"/>
    <w:multiLevelType w:val="hybridMultilevel"/>
    <w:tmpl w:val="167AC4F4"/>
    <w:lvl w:ilvl="0" w:tplc="82940B4E">
      <w:start w:val="1"/>
      <w:numFmt w:val="lowerLetter"/>
      <w:lvlText w:val="%1."/>
      <w:lvlJc w:val="left"/>
      <w:pPr>
        <w:ind w:left="1920" w:hanging="360"/>
      </w:pPr>
      <w:rPr>
        <w:rFonts w:hint="default"/>
      </w:rPr>
    </w:lvl>
    <w:lvl w:ilvl="1" w:tplc="04090019" w:tentative="1">
      <w:start w:val="1"/>
      <w:numFmt w:val="ideographTraditional"/>
      <w:lvlText w:val="%2、"/>
      <w:lvlJc w:val="left"/>
      <w:pPr>
        <w:ind w:left="2520" w:hanging="480"/>
      </w:pPr>
    </w:lvl>
    <w:lvl w:ilvl="2" w:tplc="0409001B" w:tentative="1">
      <w:start w:val="1"/>
      <w:numFmt w:val="lowerRoman"/>
      <w:lvlText w:val="%3."/>
      <w:lvlJc w:val="right"/>
      <w:pPr>
        <w:ind w:left="3000" w:hanging="480"/>
      </w:pPr>
    </w:lvl>
    <w:lvl w:ilvl="3" w:tplc="0409000F" w:tentative="1">
      <w:start w:val="1"/>
      <w:numFmt w:val="decimal"/>
      <w:lvlText w:val="%4."/>
      <w:lvlJc w:val="left"/>
      <w:pPr>
        <w:ind w:left="3480" w:hanging="480"/>
      </w:pPr>
    </w:lvl>
    <w:lvl w:ilvl="4" w:tplc="04090019" w:tentative="1">
      <w:start w:val="1"/>
      <w:numFmt w:val="ideographTraditional"/>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ideographTraditional"/>
      <w:lvlText w:val="%8、"/>
      <w:lvlJc w:val="left"/>
      <w:pPr>
        <w:ind w:left="5400" w:hanging="480"/>
      </w:pPr>
    </w:lvl>
    <w:lvl w:ilvl="8" w:tplc="0409001B" w:tentative="1">
      <w:start w:val="1"/>
      <w:numFmt w:val="lowerRoman"/>
      <w:lvlText w:val="%9."/>
      <w:lvlJc w:val="right"/>
      <w:pPr>
        <w:ind w:left="5880" w:hanging="480"/>
      </w:pPr>
    </w:lvl>
  </w:abstractNum>
  <w:abstractNum w:abstractNumId="2" w15:restartNumberingAfterBreak="0">
    <w:nsid w:val="18EE0719"/>
    <w:multiLevelType w:val="hybridMultilevel"/>
    <w:tmpl w:val="F7D66CDA"/>
    <w:lvl w:ilvl="0" w:tplc="3E827744">
      <w:start w:val="1"/>
      <w:numFmt w:val="decimal"/>
      <w:lvlText w:val="（%1）"/>
      <w:lvlJc w:val="left"/>
      <w:pPr>
        <w:ind w:left="1854" w:hanging="72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3" w15:restartNumberingAfterBreak="0">
    <w:nsid w:val="1B054955"/>
    <w:multiLevelType w:val="hybridMultilevel"/>
    <w:tmpl w:val="A26A3A90"/>
    <w:lvl w:ilvl="0" w:tplc="E4E27442">
      <w:start w:val="1"/>
      <w:numFmt w:val="decimal"/>
      <w:lvlText w:val="%1."/>
      <w:lvlJc w:val="left"/>
      <w:pPr>
        <w:ind w:left="1920" w:hanging="360"/>
      </w:pPr>
      <w:rPr>
        <w:rFonts w:hint="default"/>
      </w:rPr>
    </w:lvl>
    <w:lvl w:ilvl="1" w:tplc="04090019" w:tentative="1">
      <w:start w:val="1"/>
      <w:numFmt w:val="ideographTraditional"/>
      <w:lvlText w:val="%2、"/>
      <w:lvlJc w:val="left"/>
      <w:pPr>
        <w:ind w:left="2520" w:hanging="480"/>
      </w:pPr>
    </w:lvl>
    <w:lvl w:ilvl="2" w:tplc="0409001B" w:tentative="1">
      <w:start w:val="1"/>
      <w:numFmt w:val="lowerRoman"/>
      <w:lvlText w:val="%3."/>
      <w:lvlJc w:val="right"/>
      <w:pPr>
        <w:ind w:left="3000" w:hanging="480"/>
      </w:pPr>
    </w:lvl>
    <w:lvl w:ilvl="3" w:tplc="0409000F" w:tentative="1">
      <w:start w:val="1"/>
      <w:numFmt w:val="decimal"/>
      <w:lvlText w:val="%4."/>
      <w:lvlJc w:val="left"/>
      <w:pPr>
        <w:ind w:left="3480" w:hanging="480"/>
      </w:pPr>
    </w:lvl>
    <w:lvl w:ilvl="4" w:tplc="04090019" w:tentative="1">
      <w:start w:val="1"/>
      <w:numFmt w:val="ideographTraditional"/>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ideographTraditional"/>
      <w:lvlText w:val="%8、"/>
      <w:lvlJc w:val="left"/>
      <w:pPr>
        <w:ind w:left="5400" w:hanging="480"/>
      </w:pPr>
    </w:lvl>
    <w:lvl w:ilvl="8" w:tplc="0409001B" w:tentative="1">
      <w:start w:val="1"/>
      <w:numFmt w:val="lowerRoman"/>
      <w:lvlText w:val="%9."/>
      <w:lvlJc w:val="right"/>
      <w:pPr>
        <w:ind w:left="5880" w:hanging="480"/>
      </w:pPr>
    </w:lvl>
  </w:abstractNum>
  <w:abstractNum w:abstractNumId="4" w15:restartNumberingAfterBreak="0">
    <w:nsid w:val="1BE30299"/>
    <w:multiLevelType w:val="hybridMultilevel"/>
    <w:tmpl w:val="4ADC6108"/>
    <w:lvl w:ilvl="0" w:tplc="8CA63E58">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3CDA365B"/>
    <w:multiLevelType w:val="hybridMultilevel"/>
    <w:tmpl w:val="E4342482"/>
    <w:lvl w:ilvl="0" w:tplc="FA1A39EC">
      <w:start w:val="1"/>
      <w:numFmt w:val="taiwaneseCountingThousand"/>
      <w:lvlText w:val="（%1）"/>
      <w:lvlJc w:val="left"/>
      <w:pPr>
        <w:ind w:left="1560" w:hanging="1080"/>
      </w:pPr>
      <w:rPr>
        <w:rFonts w:hint="default"/>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4AB37C67"/>
    <w:multiLevelType w:val="hybridMultilevel"/>
    <w:tmpl w:val="E65C054A"/>
    <w:lvl w:ilvl="0" w:tplc="5BCE637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15:restartNumberingAfterBreak="0">
    <w:nsid w:val="4E526C5E"/>
    <w:multiLevelType w:val="hybridMultilevel"/>
    <w:tmpl w:val="E0E07B20"/>
    <w:lvl w:ilvl="0" w:tplc="DD92AFDA">
      <w:start w:val="1"/>
      <w:numFmt w:val="taiwaneseCountingThousand"/>
      <w:lvlText w:val="（%1）"/>
      <w:lvlJc w:val="left"/>
      <w:pPr>
        <w:ind w:left="1560" w:hanging="10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549F235B"/>
    <w:multiLevelType w:val="hybridMultilevel"/>
    <w:tmpl w:val="F7D66CDA"/>
    <w:lvl w:ilvl="0" w:tplc="3E827744">
      <w:start w:val="1"/>
      <w:numFmt w:val="decimal"/>
      <w:lvlText w:val="（%1）"/>
      <w:lvlJc w:val="left"/>
      <w:pPr>
        <w:ind w:left="1854" w:hanging="72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9" w15:restartNumberingAfterBreak="0">
    <w:nsid w:val="58020DD6"/>
    <w:multiLevelType w:val="hybridMultilevel"/>
    <w:tmpl w:val="0B8AF30E"/>
    <w:lvl w:ilvl="0" w:tplc="6A7C84BE">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5A373788"/>
    <w:multiLevelType w:val="hybridMultilevel"/>
    <w:tmpl w:val="B5E0EED4"/>
    <w:lvl w:ilvl="0" w:tplc="22A0A4E0">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658977FD"/>
    <w:multiLevelType w:val="hybridMultilevel"/>
    <w:tmpl w:val="DBB65F5A"/>
    <w:lvl w:ilvl="0" w:tplc="DD34B3A8">
      <w:start w:val="1"/>
      <w:numFmt w:val="decimal"/>
      <w:lvlText w:val="%1."/>
      <w:lvlJc w:val="left"/>
      <w:pPr>
        <w:ind w:left="1920" w:hanging="360"/>
      </w:pPr>
      <w:rPr>
        <w:rFonts w:hint="default"/>
      </w:rPr>
    </w:lvl>
    <w:lvl w:ilvl="1" w:tplc="04090019" w:tentative="1">
      <w:start w:val="1"/>
      <w:numFmt w:val="ideographTraditional"/>
      <w:lvlText w:val="%2、"/>
      <w:lvlJc w:val="left"/>
      <w:pPr>
        <w:ind w:left="2520" w:hanging="480"/>
      </w:pPr>
    </w:lvl>
    <w:lvl w:ilvl="2" w:tplc="0409001B" w:tentative="1">
      <w:start w:val="1"/>
      <w:numFmt w:val="lowerRoman"/>
      <w:lvlText w:val="%3."/>
      <w:lvlJc w:val="right"/>
      <w:pPr>
        <w:ind w:left="3000" w:hanging="480"/>
      </w:pPr>
    </w:lvl>
    <w:lvl w:ilvl="3" w:tplc="0409000F" w:tentative="1">
      <w:start w:val="1"/>
      <w:numFmt w:val="decimal"/>
      <w:lvlText w:val="%4."/>
      <w:lvlJc w:val="left"/>
      <w:pPr>
        <w:ind w:left="3480" w:hanging="480"/>
      </w:pPr>
    </w:lvl>
    <w:lvl w:ilvl="4" w:tplc="04090019" w:tentative="1">
      <w:start w:val="1"/>
      <w:numFmt w:val="ideographTraditional"/>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ideographTraditional"/>
      <w:lvlText w:val="%8、"/>
      <w:lvlJc w:val="left"/>
      <w:pPr>
        <w:ind w:left="5400" w:hanging="480"/>
      </w:pPr>
    </w:lvl>
    <w:lvl w:ilvl="8" w:tplc="0409001B" w:tentative="1">
      <w:start w:val="1"/>
      <w:numFmt w:val="lowerRoman"/>
      <w:lvlText w:val="%9."/>
      <w:lvlJc w:val="right"/>
      <w:pPr>
        <w:ind w:left="5880" w:hanging="480"/>
      </w:pPr>
    </w:lvl>
  </w:abstractNum>
  <w:abstractNum w:abstractNumId="12" w15:restartNumberingAfterBreak="0">
    <w:nsid w:val="6957097D"/>
    <w:multiLevelType w:val="hybridMultilevel"/>
    <w:tmpl w:val="305A4B98"/>
    <w:lvl w:ilvl="0" w:tplc="E7D8E016">
      <w:start w:val="1"/>
      <w:numFmt w:val="decimal"/>
      <w:lvlText w:val="%1."/>
      <w:lvlJc w:val="left"/>
      <w:pPr>
        <w:ind w:left="1920" w:hanging="360"/>
      </w:pPr>
      <w:rPr>
        <w:rFonts w:hint="default"/>
      </w:rPr>
    </w:lvl>
    <w:lvl w:ilvl="1" w:tplc="04090019" w:tentative="1">
      <w:start w:val="1"/>
      <w:numFmt w:val="ideographTraditional"/>
      <w:lvlText w:val="%2、"/>
      <w:lvlJc w:val="left"/>
      <w:pPr>
        <w:ind w:left="2520" w:hanging="480"/>
      </w:pPr>
    </w:lvl>
    <w:lvl w:ilvl="2" w:tplc="0409001B" w:tentative="1">
      <w:start w:val="1"/>
      <w:numFmt w:val="lowerRoman"/>
      <w:lvlText w:val="%3."/>
      <w:lvlJc w:val="right"/>
      <w:pPr>
        <w:ind w:left="3000" w:hanging="480"/>
      </w:pPr>
    </w:lvl>
    <w:lvl w:ilvl="3" w:tplc="0409000F" w:tentative="1">
      <w:start w:val="1"/>
      <w:numFmt w:val="decimal"/>
      <w:lvlText w:val="%4."/>
      <w:lvlJc w:val="left"/>
      <w:pPr>
        <w:ind w:left="3480" w:hanging="480"/>
      </w:pPr>
    </w:lvl>
    <w:lvl w:ilvl="4" w:tplc="04090019" w:tentative="1">
      <w:start w:val="1"/>
      <w:numFmt w:val="ideographTraditional"/>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ideographTraditional"/>
      <w:lvlText w:val="%8、"/>
      <w:lvlJc w:val="left"/>
      <w:pPr>
        <w:ind w:left="5400" w:hanging="480"/>
      </w:pPr>
    </w:lvl>
    <w:lvl w:ilvl="8" w:tplc="0409001B" w:tentative="1">
      <w:start w:val="1"/>
      <w:numFmt w:val="lowerRoman"/>
      <w:lvlText w:val="%9."/>
      <w:lvlJc w:val="right"/>
      <w:pPr>
        <w:ind w:left="5880" w:hanging="480"/>
      </w:pPr>
    </w:lvl>
  </w:abstractNum>
  <w:abstractNum w:abstractNumId="13" w15:restartNumberingAfterBreak="0">
    <w:nsid w:val="6CC803AE"/>
    <w:multiLevelType w:val="hybridMultilevel"/>
    <w:tmpl w:val="8F14583C"/>
    <w:lvl w:ilvl="0" w:tplc="BF1C4214">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7AD51034"/>
    <w:multiLevelType w:val="hybridMultilevel"/>
    <w:tmpl w:val="167AC4F4"/>
    <w:lvl w:ilvl="0" w:tplc="82940B4E">
      <w:start w:val="1"/>
      <w:numFmt w:val="lowerLetter"/>
      <w:lvlText w:val="%1."/>
      <w:lvlJc w:val="left"/>
      <w:pPr>
        <w:ind w:left="1920" w:hanging="360"/>
      </w:pPr>
      <w:rPr>
        <w:rFonts w:hint="default"/>
      </w:rPr>
    </w:lvl>
    <w:lvl w:ilvl="1" w:tplc="04090019" w:tentative="1">
      <w:start w:val="1"/>
      <w:numFmt w:val="ideographTraditional"/>
      <w:lvlText w:val="%2、"/>
      <w:lvlJc w:val="left"/>
      <w:pPr>
        <w:ind w:left="2520" w:hanging="480"/>
      </w:pPr>
    </w:lvl>
    <w:lvl w:ilvl="2" w:tplc="0409001B" w:tentative="1">
      <w:start w:val="1"/>
      <w:numFmt w:val="lowerRoman"/>
      <w:lvlText w:val="%3."/>
      <w:lvlJc w:val="right"/>
      <w:pPr>
        <w:ind w:left="3000" w:hanging="480"/>
      </w:pPr>
    </w:lvl>
    <w:lvl w:ilvl="3" w:tplc="0409000F" w:tentative="1">
      <w:start w:val="1"/>
      <w:numFmt w:val="decimal"/>
      <w:lvlText w:val="%4."/>
      <w:lvlJc w:val="left"/>
      <w:pPr>
        <w:ind w:left="3480" w:hanging="480"/>
      </w:pPr>
    </w:lvl>
    <w:lvl w:ilvl="4" w:tplc="04090019" w:tentative="1">
      <w:start w:val="1"/>
      <w:numFmt w:val="ideographTraditional"/>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ideographTraditional"/>
      <w:lvlText w:val="%8、"/>
      <w:lvlJc w:val="left"/>
      <w:pPr>
        <w:ind w:left="5400" w:hanging="480"/>
      </w:pPr>
    </w:lvl>
    <w:lvl w:ilvl="8" w:tplc="0409001B" w:tentative="1">
      <w:start w:val="1"/>
      <w:numFmt w:val="lowerRoman"/>
      <w:lvlText w:val="%9."/>
      <w:lvlJc w:val="right"/>
      <w:pPr>
        <w:ind w:left="5880" w:hanging="480"/>
      </w:pPr>
    </w:lvl>
  </w:abstractNum>
  <w:num w:numId="1">
    <w:abstractNumId w:val="0"/>
  </w:num>
  <w:num w:numId="2">
    <w:abstractNumId w:val="13"/>
  </w:num>
  <w:num w:numId="3">
    <w:abstractNumId w:val="6"/>
  </w:num>
  <w:num w:numId="4">
    <w:abstractNumId w:val="8"/>
  </w:num>
  <w:num w:numId="5">
    <w:abstractNumId w:val="14"/>
  </w:num>
  <w:num w:numId="6">
    <w:abstractNumId w:val="1"/>
  </w:num>
  <w:num w:numId="7">
    <w:abstractNumId w:val="2"/>
  </w:num>
  <w:num w:numId="8">
    <w:abstractNumId w:val="9"/>
  </w:num>
  <w:num w:numId="9">
    <w:abstractNumId w:val="7"/>
  </w:num>
  <w:num w:numId="10">
    <w:abstractNumId w:val="3"/>
  </w:num>
  <w:num w:numId="11">
    <w:abstractNumId w:val="11"/>
  </w:num>
  <w:num w:numId="12">
    <w:abstractNumId w:val="5"/>
  </w:num>
  <w:num w:numId="13">
    <w:abstractNumId w:val="12"/>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C8"/>
    <w:rsid w:val="00004E5D"/>
    <w:rsid w:val="00014366"/>
    <w:rsid w:val="00035FBF"/>
    <w:rsid w:val="000660C0"/>
    <w:rsid w:val="00090B08"/>
    <w:rsid w:val="000D6947"/>
    <w:rsid w:val="001A54C8"/>
    <w:rsid w:val="001B107D"/>
    <w:rsid w:val="00216B17"/>
    <w:rsid w:val="002B6F15"/>
    <w:rsid w:val="002D6BFF"/>
    <w:rsid w:val="00310A75"/>
    <w:rsid w:val="003451CF"/>
    <w:rsid w:val="003562F3"/>
    <w:rsid w:val="00484B7F"/>
    <w:rsid w:val="004A3B72"/>
    <w:rsid w:val="004E10BC"/>
    <w:rsid w:val="004E32BE"/>
    <w:rsid w:val="00500FF2"/>
    <w:rsid w:val="0059081A"/>
    <w:rsid w:val="006B723A"/>
    <w:rsid w:val="00820EFF"/>
    <w:rsid w:val="00845542"/>
    <w:rsid w:val="009010A4"/>
    <w:rsid w:val="0093756E"/>
    <w:rsid w:val="00AE3317"/>
    <w:rsid w:val="00B033CB"/>
    <w:rsid w:val="00B56EF3"/>
    <w:rsid w:val="00C2662E"/>
    <w:rsid w:val="00C861B4"/>
    <w:rsid w:val="00CC700B"/>
    <w:rsid w:val="00DE6192"/>
    <w:rsid w:val="00DF69F6"/>
    <w:rsid w:val="00E233C4"/>
    <w:rsid w:val="00F77C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01BCB"/>
  <w15:chartTrackingRefBased/>
  <w15:docId w15:val="{898FEA51-1F94-43DA-B98F-C3C56BEA6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54C8"/>
    <w:pPr>
      <w:tabs>
        <w:tab w:val="center" w:pos="4153"/>
        <w:tab w:val="right" w:pos="8306"/>
      </w:tabs>
      <w:snapToGrid w:val="0"/>
    </w:pPr>
    <w:rPr>
      <w:sz w:val="20"/>
      <w:szCs w:val="20"/>
    </w:rPr>
  </w:style>
  <w:style w:type="character" w:customStyle="1" w:styleId="a4">
    <w:name w:val="頁首 字元"/>
    <w:basedOn w:val="a0"/>
    <w:link w:val="a3"/>
    <w:uiPriority w:val="99"/>
    <w:rsid w:val="001A54C8"/>
    <w:rPr>
      <w:sz w:val="20"/>
      <w:szCs w:val="20"/>
    </w:rPr>
  </w:style>
  <w:style w:type="paragraph" w:styleId="a5">
    <w:name w:val="footer"/>
    <w:basedOn w:val="a"/>
    <w:link w:val="a6"/>
    <w:uiPriority w:val="99"/>
    <w:unhideWhenUsed/>
    <w:rsid w:val="001A54C8"/>
    <w:pPr>
      <w:tabs>
        <w:tab w:val="center" w:pos="4153"/>
        <w:tab w:val="right" w:pos="8306"/>
      </w:tabs>
      <w:snapToGrid w:val="0"/>
    </w:pPr>
    <w:rPr>
      <w:sz w:val="20"/>
      <w:szCs w:val="20"/>
    </w:rPr>
  </w:style>
  <w:style w:type="character" w:customStyle="1" w:styleId="a6">
    <w:name w:val="頁尾 字元"/>
    <w:basedOn w:val="a0"/>
    <w:link w:val="a5"/>
    <w:uiPriority w:val="99"/>
    <w:rsid w:val="001A54C8"/>
    <w:rPr>
      <w:sz w:val="20"/>
      <w:szCs w:val="20"/>
    </w:rPr>
  </w:style>
  <w:style w:type="paragraph" w:styleId="a7">
    <w:name w:val="List Paragraph"/>
    <w:basedOn w:val="a"/>
    <w:uiPriority w:val="34"/>
    <w:qFormat/>
    <w:rsid w:val="001A54C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90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雅琪 林</cp:lastModifiedBy>
  <cp:revision>6</cp:revision>
  <cp:lastPrinted>2021-02-27T05:35:00Z</cp:lastPrinted>
  <dcterms:created xsi:type="dcterms:W3CDTF">2021-03-07T14:21:00Z</dcterms:created>
  <dcterms:modified xsi:type="dcterms:W3CDTF">2021-03-07T16:26:00Z</dcterms:modified>
</cp:coreProperties>
</file>