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3EBA" w14:textId="77777777" w:rsidR="00253528" w:rsidRDefault="00253528" w:rsidP="00253528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6B775C2E" w14:textId="2B3F001E" w:rsidR="00253528" w:rsidRDefault="00253528" w:rsidP="00253528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匯率相關金融商品</w:t>
      </w:r>
      <w:r>
        <w:rPr>
          <w:rFonts w:ascii="標楷體" w:eastAsia="標楷體" w:hAnsi="標楷體" w:hint="eastAsia"/>
          <w:sz w:val="48"/>
          <w:szCs w:val="48"/>
        </w:rPr>
        <w:t>II</w:t>
      </w:r>
    </w:p>
    <w:p w14:paraId="2AF45285" w14:textId="7B945D34" w:rsidR="00253528" w:rsidRDefault="00253528" w:rsidP="00253528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參、遠期外匯契約的合成</w:t>
      </w:r>
    </w:p>
    <w:p w14:paraId="05C894EC" w14:textId="5D6E8BDA" w:rsidR="00253528" w:rsidRDefault="006C1615" w:rsidP="0025352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1ADEA" wp14:editId="3F34E405">
                <wp:simplePos x="0" y="0"/>
                <wp:positionH relativeFrom="column">
                  <wp:posOffset>332510</wp:posOffset>
                </wp:positionH>
                <wp:positionV relativeFrom="paragraph">
                  <wp:posOffset>360218</wp:posOffset>
                </wp:positionV>
                <wp:extent cx="3435754" cy="90055"/>
                <wp:effectExtent l="0" t="0" r="1270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754" cy="90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DC9D8" id="矩形 2" o:spid="_x0000_s1026" style="position:absolute;margin-left:26.2pt;margin-top:28.35pt;width:270.5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" fillcolor="white [3212]" strokecolor="white [3212]" strokeweight="1pt"/>
            </w:pict>
          </mc:Fallback>
        </mc:AlternateContent>
      </w:r>
      <w:r w:rsidR="00253528">
        <w:rPr>
          <w:rFonts w:ascii="標楷體" w:eastAsia="標楷體" w:hAnsi="標楷體"/>
          <w:szCs w:val="24"/>
        </w:rPr>
        <w:tab/>
      </w:r>
      <w:r w:rsidR="00253528">
        <w:rPr>
          <w:rFonts w:ascii="標楷體" w:eastAsia="標楷體" w:hAnsi="標楷體" w:hint="eastAsia"/>
          <w:szCs w:val="24"/>
        </w:rPr>
        <w:t>可以透過未來所需之現金，藉由利率平價理論去鎖定遠期匯率。</w:t>
      </w:r>
      <w:r w:rsidR="00253528">
        <w:rPr>
          <w:noProof/>
        </w:rPr>
        <w:drawing>
          <wp:inline distT="0" distB="0" distL="0" distR="0" wp14:anchorId="7DCC7F4F" wp14:editId="1F14291B">
            <wp:extent cx="5274310" cy="1479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16D" w14:textId="029CBBE6" w:rsidR="006C1615" w:rsidRDefault="006C1615" w:rsidP="0025352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假設出口商未來</w:t>
      </w:r>
      <w:r w:rsidR="00966C5F">
        <w:rPr>
          <w:rFonts w:ascii="標楷體" w:eastAsia="標楷體" w:hAnsi="標楷體" w:hint="eastAsia"/>
          <w:szCs w:val="24"/>
        </w:rPr>
        <w:t>需要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00</w:t>
      </w:r>
      <w:r>
        <w:rPr>
          <w:rFonts w:ascii="標楷體" w:eastAsia="標楷體" w:hAnsi="標楷體" w:hint="eastAsia"/>
          <w:szCs w:val="24"/>
        </w:rPr>
        <w:t>€，因此怕歐元在未來</w:t>
      </w:r>
      <w:r w:rsidR="00966C5F">
        <w:rPr>
          <w:rFonts w:ascii="標楷體" w:eastAsia="標楷體" w:hAnsi="標楷體" w:hint="eastAsia"/>
          <w:szCs w:val="24"/>
        </w:rPr>
        <w:t>升</w:t>
      </w:r>
      <w:r>
        <w:rPr>
          <w:rFonts w:ascii="標楷體" w:eastAsia="標楷體" w:hAnsi="標楷體" w:hint="eastAsia"/>
          <w:szCs w:val="24"/>
        </w:rPr>
        <w:t>值，台幣</w:t>
      </w:r>
      <w:r w:rsidR="00966C5F">
        <w:rPr>
          <w:rFonts w:ascii="標楷體" w:eastAsia="標楷體" w:hAnsi="標楷體" w:hint="eastAsia"/>
          <w:szCs w:val="24"/>
        </w:rPr>
        <w:t>貶</w:t>
      </w:r>
      <w:r>
        <w:rPr>
          <w:rFonts w:ascii="標楷體" w:eastAsia="標楷體" w:hAnsi="標楷體" w:hint="eastAsia"/>
          <w:szCs w:val="24"/>
        </w:rPr>
        <w:t>值，需要作鎖定匯率的動作：現在借e</w:t>
      </w:r>
      <w:r>
        <w:rPr>
          <w:rFonts w:ascii="標楷體" w:eastAsia="標楷體" w:hAnsi="標楷體" w:hint="eastAsia"/>
          <w:szCs w:val="24"/>
          <w:vertAlign w:val="subscript"/>
        </w:rPr>
        <w:t>0</w:t>
      </w:r>
      <w:r>
        <w:rPr>
          <w:rFonts w:ascii="標楷體" w:eastAsia="標楷體" w:hAnsi="標楷體" w:hint="eastAsia"/>
          <w:szCs w:val="24"/>
        </w:rPr>
        <w:t>*(</w:t>
      </w:r>
      <w:r>
        <w:rPr>
          <w:rFonts w:ascii="標楷體" w:eastAsia="標楷體" w:hAnsi="標楷體"/>
          <w:szCs w:val="24"/>
        </w:rPr>
        <w:t>100/(1+r</w:t>
      </w:r>
      <w:r>
        <w:rPr>
          <w:rFonts w:ascii="標楷體" w:eastAsia="標楷體" w:hAnsi="標楷體"/>
          <w:szCs w:val="24"/>
          <w:vertAlign w:val="subscript"/>
        </w:rPr>
        <w:t>f</w:t>
      </w:r>
      <w:r>
        <w:rPr>
          <w:rFonts w:ascii="標楷體" w:eastAsia="標楷體" w:hAnsi="標楷體"/>
          <w:szCs w:val="24"/>
        </w:rPr>
        <w:t>))</w:t>
      </w:r>
      <w:r>
        <w:rPr>
          <w:rFonts w:ascii="標楷體" w:eastAsia="標楷體" w:hAnsi="標楷體" w:hint="eastAsia"/>
          <w:szCs w:val="24"/>
        </w:rPr>
        <w:t>的NTD去存入</w:t>
      </w: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100/(1+r</w:t>
      </w:r>
      <w:r>
        <w:rPr>
          <w:rFonts w:ascii="標楷體" w:eastAsia="標楷體" w:hAnsi="標楷體"/>
          <w:szCs w:val="24"/>
          <w:vertAlign w:val="subscript"/>
        </w:rPr>
        <w:t>f</w:t>
      </w:r>
      <w:r>
        <w:rPr>
          <w:rFonts w:ascii="標楷體" w:eastAsia="標楷體" w:hAnsi="標楷體"/>
          <w:szCs w:val="24"/>
        </w:rPr>
        <w:t>))</w:t>
      </w:r>
      <w:r>
        <w:rPr>
          <w:rFonts w:ascii="標楷體" w:eastAsia="標楷體" w:hAnsi="標楷體" w:hint="eastAsia"/>
          <w:szCs w:val="24"/>
        </w:rPr>
        <w:t>€</w:t>
      </w:r>
      <w:r>
        <w:rPr>
          <w:rFonts w:ascii="標楷體" w:eastAsia="標楷體" w:hAnsi="標楷體" w:hint="eastAsia"/>
          <w:szCs w:val="24"/>
        </w:rPr>
        <w:t>，未來便</w:t>
      </w:r>
      <w:r w:rsidR="00966C5F">
        <w:rPr>
          <w:rFonts w:ascii="標楷體" w:eastAsia="標楷體" w:hAnsi="標楷體" w:hint="eastAsia"/>
          <w:szCs w:val="24"/>
        </w:rPr>
        <w:t>還</w:t>
      </w:r>
      <w:r w:rsidR="00966C5F">
        <w:rPr>
          <w:rFonts w:ascii="標楷體" w:eastAsia="標楷體" w:hAnsi="標楷體" w:hint="eastAsia"/>
          <w:szCs w:val="24"/>
        </w:rPr>
        <w:t>e</w:t>
      </w:r>
      <w:r w:rsidR="00966C5F">
        <w:rPr>
          <w:rFonts w:ascii="標楷體" w:eastAsia="標楷體" w:hAnsi="標楷體" w:hint="eastAsia"/>
          <w:szCs w:val="24"/>
          <w:vertAlign w:val="subscript"/>
        </w:rPr>
        <w:t>0</w:t>
      </w:r>
      <w:r w:rsidR="00966C5F">
        <w:rPr>
          <w:rFonts w:ascii="標楷體" w:eastAsia="標楷體" w:hAnsi="標楷體" w:hint="eastAsia"/>
          <w:szCs w:val="24"/>
        </w:rPr>
        <w:t>*(</w:t>
      </w:r>
      <w:r w:rsidR="00966C5F">
        <w:rPr>
          <w:rFonts w:ascii="標楷體" w:eastAsia="標楷體" w:hAnsi="標楷體"/>
          <w:szCs w:val="24"/>
        </w:rPr>
        <w:t>100/(1+r</w:t>
      </w:r>
      <w:r w:rsidR="00966C5F">
        <w:rPr>
          <w:rFonts w:ascii="標楷體" w:eastAsia="標楷體" w:hAnsi="標楷體"/>
          <w:szCs w:val="24"/>
          <w:vertAlign w:val="subscript"/>
        </w:rPr>
        <w:t>f</w:t>
      </w:r>
      <w:r w:rsidR="00966C5F">
        <w:rPr>
          <w:rFonts w:ascii="標楷體" w:eastAsia="標楷體" w:hAnsi="標楷體"/>
          <w:szCs w:val="24"/>
        </w:rPr>
        <w:t>))</w:t>
      </w:r>
      <w:r w:rsidR="00966C5F">
        <w:rPr>
          <w:rFonts w:ascii="標楷體" w:eastAsia="標楷體" w:hAnsi="標楷體" w:hint="eastAsia"/>
          <w:szCs w:val="24"/>
        </w:rPr>
        <w:t>*(1</w:t>
      </w:r>
      <w:r w:rsidR="00966C5F">
        <w:rPr>
          <w:rFonts w:ascii="標楷體" w:eastAsia="標楷體" w:hAnsi="標楷體"/>
          <w:szCs w:val="24"/>
        </w:rPr>
        <w:t>+r</w:t>
      </w:r>
      <w:r w:rsidR="00966C5F">
        <w:rPr>
          <w:rFonts w:ascii="標楷體" w:eastAsia="標楷體" w:hAnsi="標楷體"/>
          <w:szCs w:val="24"/>
          <w:vertAlign w:val="subscript"/>
        </w:rPr>
        <w:t>d</w:t>
      </w:r>
      <w:r w:rsidR="00966C5F">
        <w:rPr>
          <w:rFonts w:ascii="標楷體" w:eastAsia="標楷體" w:hAnsi="標楷體" w:hint="eastAsia"/>
          <w:szCs w:val="24"/>
        </w:rPr>
        <w:t>)，達到鎖定遠期匯率為</w:t>
      </w:r>
      <w:r w:rsidR="00966C5F">
        <w:rPr>
          <w:rFonts w:ascii="標楷體" w:eastAsia="標楷體" w:hAnsi="標楷體" w:hint="eastAsia"/>
          <w:szCs w:val="24"/>
        </w:rPr>
        <w:t>e</w:t>
      </w:r>
      <w:r w:rsidR="00966C5F">
        <w:rPr>
          <w:rFonts w:ascii="標楷體" w:eastAsia="標楷體" w:hAnsi="標楷體" w:hint="eastAsia"/>
          <w:szCs w:val="24"/>
          <w:vertAlign w:val="subscript"/>
        </w:rPr>
        <w:t>0</w:t>
      </w:r>
      <w:r w:rsidR="00966C5F">
        <w:rPr>
          <w:rFonts w:ascii="標楷體" w:eastAsia="標楷體" w:hAnsi="標楷體" w:hint="eastAsia"/>
          <w:szCs w:val="24"/>
        </w:rPr>
        <w:t>*</w:t>
      </w:r>
      <w:r w:rsidR="00966C5F">
        <w:rPr>
          <w:rFonts w:ascii="標楷體" w:eastAsia="標楷體" w:hAnsi="標楷體"/>
          <w:szCs w:val="24"/>
        </w:rPr>
        <w:t>(1+r</w:t>
      </w:r>
      <w:r w:rsidR="00966C5F">
        <w:rPr>
          <w:rFonts w:ascii="標楷體" w:eastAsia="標楷體" w:hAnsi="標楷體"/>
          <w:szCs w:val="24"/>
          <w:vertAlign w:val="subscript"/>
        </w:rPr>
        <w:t>f</w:t>
      </w:r>
      <w:r w:rsidR="00966C5F">
        <w:rPr>
          <w:rFonts w:ascii="標楷體" w:eastAsia="標楷體" w:hAnsi="標楷體"/>
          <w:szCs w:val="24"/>
        </w:rPr>
        <w:t>))</w:t>
      </w:r>
      <w:r w:rsidR="00966C5F">
        <w:rPr>
          <w:rFonts w:ascii="標楷體" w:eastAsia="標楷體" w:hAnsi="標楷體" w:hint="eastAsia"/>
          <w:szCs w:val="24"/>
        </w:rPr>
        <w:t>*(1</w:t>
      </w:r>
      <w:r w:rsidR="00966C5F">
        <w:rPr>
          <w:rFonts w:ascii="標楷體" w:eastAsia="標楷體" w:hAnsi="標楷體"/>
          <w:szCs w:val="24"/>
        </w:rPr>
        <w:t>+r</w:t>
      </w:r>
      <w:r w:rsidR="00966C5F">
        <w:rPr>
          <w:rFonts w:ascii="標楷體" w:eastAsia="標楷體" w:hAnsi="標楷體"/>
          <w:szCs w:val="24"/>
          <w:vertAlign w:val="subscript"/>
        </w:rPr>
        <w:t>d</w:t>
      </w:r>
      <w:r w:rsidR="00966C5F">
        <w:rPr>
          <w:rFonts w:ascii="標楷體" w:eastAsia="標楷體" w:hAnsi="標楷體" w:hint="eastAsia"/>
          <w:szCs w:val="24"/>
        </w:rPr>
        <w:t>)</w:t>
      </w:r>
      <w:r w:rsidR="00966C5F">
        <w:rPr>
          <w:rFonts w:ascii="標楷體" w:eastAsia="標楷體" w:hAnsi="標楷體" w:hint="eastAsia"/>
          <w:szCs w:val="24"/>
        </w:rPr>
        <w:t>的效果。</w:t>
      </w:r>
    </w:p>
    <w:p w14:paraId="51E124BF" w14:textId="0D47E7FE" w:rsidR="00966C5F" w:rsidRDefault="00966C5F" w:rsidP="00253528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肆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區間遠期外匯</w:t>
      </w:r>
    </w:p>
    <w:p w14:paraId="693DA010" w14:textId="01695860" w:rsidR="0042542C" w:rsidRDefault="00966C5F" w:rsidP="0025352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28"/>
          <w:szCs w:val="28"/>
        </w:rPr>
        <w:tab/>
      </w:r>
      <w:r w:rsidR="0042542C" w:rsidRPr="0042542C">
        <w:rPr>
          <w:rFonts w:ascii="標楷體" w:eastAsia="標楷體" w:hAnsi="標楷體" w:hint="eastAsia"/>
          <w:szCs w:val="24"/>
        </w:rPr>
        <w:t>區間遠期外匯可由一買權、一賣權組合出，對於出口商來說，其有一匯率底線，低於此底線可能造成虧損，因而賣權的履約價格由出口商依照自己的底線設定，而買權之履約價格則由銀行依據買賣權權利金相等決定；而進口商反之亦然，改買入以上限為履約價的買權，而賣權之履約價格同樣由銀行依據買買權之權利金相等決定。</w:t>
      </w:r>
    </w:p>
    <w:p w14:paraId="41700C54" w14:textId="5B58F64E" w:rsidR="0042542C" w:rsidRDefault="0042542C" w:rsidP="0025352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賣匯，在面對不同的市場局勢時，作不同的策略所得到的保護是有差別的，比如大跌時：遠期外匯 &gt; 區間遠期外匯 &gt; 賣權，大漲時：</w:t>
      </w:r>
      <w:r w:rsidR="007E07AB">
        <w:rPr>
          <w:rFonts w:ascii="標楷體" w:eastAsia="標楷體" w:hAnsi="標楷體" w:hint="eastAsia"/>
          <w:szCs w:val="24"/>
        </w:rPr>
        <w:t>賣權 &gt; 區間遠期外匯 &gt; 遠期外匯，盤整：區間遠期外匯 &gt; 遠期外匯 &gt; 賣權，可以發現區間遠期外匯，無論在甚麼情況，都不會是最糟。</w:t>
      </w:r>
    </w:p>
    <w:p w14:paraId="7EEDF9DB" w14:textId="62D978AE" w:rsidR="007E07AB" w:rsidRDefault="007E07AB" w:rsidP="00253528">
      <w:pPr>
        <w:spacing w:line="360" w:lineRule="auto"/>
        <w:rPr>
          <w:rFonts w:ascii="標楷體" w:eastAsia="標楷體" w:hAnsi="標楷體"/>
          <w:szCs w:val="24"/>
        </w:rPr>
      </w:pPr>
    </w:p>
    <w:p w14:paraId="4BF78F64" w14:textId="559D088B" w:rsidR="007E07AB" w:rsidRPr="007E07AB" w:rsidRDefault="007E07AB" w:rsidP="007E07AB">
      <w:pPr>
        <w:tabs>
          <w:tab w:val="left" w:pos="584"/>
        </w:tabs>
        <w:spacing w:line="360" w:lineRule="auto"/>
        <w:rPr>
          <w:rFonts w:ascii="標楷體" w:eastAsia="標楷體" w:hAnsi="標楷體" w:hint="eastAsia"/>
          <w:sz w:val="28"/>
          <w:szCs w:val="28"/>
        </w:rPr>
      </w:pPr>
      <w:r w:rsidRPr="007E07AB">
        <w:rPr>
          <w:rFonts w:ascii="標楷體" w:eastAsia="標楷體" w:hAnsi="標楷體" w:hint="eastAsia"/>
          <w:sz w:val="28"/>
          <w:szCs w:val="28"/>
        </w:rPr>
        <w:t>問題</w:t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：在B</w:t>
      </w:r>
      <w:r>
        <w:rPr>
          <w:rFonts w:ascii="標楷體" w:eastAsia="標楷體" w:hAnsi="標楷體"/>
          <w:sz w:val="28"/>
          <w:szCs w:val="28"/>
        </w:rPr>
        <w:t>lsMC.m</w:t>
      </w:r>
      <w:r>
        <w:rPr>
          <w:rFonts w:ascii="標楷體" w:eastAsia="標楷體" w:hAnsi="標楷體" w:hint="eastAsia"/>
          <w:sz w:val="28"/>
          <w:szCs w:val="28"/>
        </w:rPr>
        <w:t>中的n</w:t>
      </w:r>
      <w:r>
        <w:rPr>
          <w:rFonts w:ascii="標楷體" w:eastAsia="標楷體" w:hAnsi="標楷體"/>
          <w:sz w:val="28"/>
          <w:szCs w:val="28"/>
        </w:rPr>
        <w:t>uT</w:t>
      </w:r>
      <w:r>
        <w:rPr>
          <w:rFonts w:ascii="標楷體" w:eastAsia="標楷體" w:hAnsi="標楷體" w:hint="eastAsia"/>
          <w:sz w:val="28"/>
          <w:szCs w:val="28"/>
        </w:rPr>
        <w:t>及s</w:t>
      </w:r>
      <w:r>
        <w:rPr>
          <w:rFonts w:ascii="標楷體" w:eastAsia="標楷體" w:hAnsi="標楷體"/>
          <w:sz w:val="28"/>
          <w:szCs w:val="28"/>
        </w:rPr>
        <w:t>iT</w:t>
      </w:r>
      <w:r>
        <w:rPr>
          <w:rFonts w:ascii="標楷體" w:eastAsia="標楷體" w:hAnsi="標楷體" w:hint="eastAsia"/>
          <w:sz w:val="28"/>
          <w:szCs w:val="28"/>
        </w:rPr>
        <w:t>的意義是甚麼?</w:t>
      </w:r>
    </w:p>
    <w:sectPr w:rsidR="007E07AB" w:rsidRPr="007E07A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5DE4" w14:textId="77777777" w:rsidR="001A54C8" w:rsidRDefault="007E07AB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549B"/>
    <w:multiLevelType w:val="hybridMultilevel"/>
    <w:tmpl w:val="1B701002"/>
    <w:lvl w:ilvl="0" w:tplc="039A832E">
      <w:start w:val="3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D0626F"/>
    <w:multiLevelType w:val="hybridMultilevel"/>
    <w:tmpl w:val="AF865B30"/>
    <w:lvl w:ilvl="0" w:tplc="4DB4478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8B5820"/>
    <w:multiLevelType w:val="hybridMultilevel"/>
    <w:tmpl w:val="C3447AD2"/>
    <w:lvl w:ilvl="0" w:tplc="0C58E35C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28"/>
    <w:rsid w:val="00170434"/>
    <w:rsid w:val="00253528"/>
    <w:rsid w:val="0042542C"/>
    <w:rsid w:val="006C1615"/>
    <w:rsid w:val="007E07AB"/>
    <w:rsid w:val="0096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3027"/>
  <w15:chartTrackingRefBased/>
  <w15:docId w15:val="{A3E18910-59B0-489C-BEF2-3CD4088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5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3528"/>
    <w:rPr>
      <w:sz w:val="20"/>
      <w:szCs w:val="20"/>
    </w:rPr>
  </w:style>
  <w:style w:type="paragraph" w:styleId="a5">
    <w:name w:val="List Paragraph"/>
    <w:basedOn w:val="a"/>
    <w:uiPriority w:val="34"/>
    <w:qFormat/>
    <w:rsid w:val="00253528"/>
    <w:pPr>
      <w:ind w:leftChars="200" w:left="480"/>
    </w:pPr>
  </w:style>
  <w:style w:type="table" w:styleId="1-1">
    <w:name w:val="Grid Table 1 Light Accent 1"/>
    <w:basedOn w:val="a1"/>
    <w:uiPriority w:val="46"/>
    <w:rsid w:val="0025352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1</cp:revision>
  <dcterms:created xsi:type="dcterms:W3CDTF">2021-05-10T02:41:00Z</dcterms:created>
  <dcterms:modified xsi:type="dcterms:W3CDTF">2021-05-10T03:34:00Z</dcterms:modified>
</cp:coreProperties>
</file>