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2CF2" w14:textId="77777777" w:rsidR="0077505A" w:rsidRDefault="0077505A" w:rsidP="0077505A">
      <w:pPr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569337A6" w14:textId="77777777" w:rsidR="0077505A" w:rsidRPr="000D6947" w:rsidRDefault="0077505A" w:rsidP="0077505A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選擇權IV</w:t>
      </w:r>
    </w:p>
    <w:p w14:paraId="68CABF2F" w14:textId="77777777" w:rsidR="0077505A" w:rsidRDefault="0077505A" w:rsidP="0077505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(續</w:t>
      </w:r>
      <w:r>
        <w:rPr>
          <w:rFonts w:ascii="標楷體" w:eastAsia="標楷體" w:hAnsi="標楷體"/>
          <w:b/>
          <w:bCs/>
          <w:sz w:val="32"/>
          <w:szCs w:val="32"/>
        </w:rPr>
        <w:t>)</w:t>
      </w:r>
      <w:r>
        <w:rPr>
          <w:rFonts w:ascii="標楷體" w:eastAsia="標楷體" w:hAnsi="標楷體" w:hint="eastAsia"/>
          <w:b/>
          <w:bCs/>
          <w:sz w:val="32"/>
          <w:szCs w:val="32"/>
        </w:rPr>
        <w:t>選擇權</w:t>
      </w:r>
    </w:p>
    <w:p w14:paraId="45154CC9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六、選擇權之評價方法</w:t>
      </w:r>
    </w:p>
    <w:p w14:paraId="5D2F8546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（一）如何複製選擇權</w:t>
      </w:r>
    </w:p>
    <w:p w14:paraId="0318A87F" w14:textId="77777777" w:rsidR="0077505A" w:rsidRDefault="0077505A" w:rsidP="0077505A">
      <w:pPr>
        <w:spacing w:line="360" w:lineRule="auto"/>
        <w:ind w:left="1440"/>
        <w:rPr>
          <w:rFonts w:asciiTheme="minorEastAsia" w:hAnsiTheme="minorEastAsia"/>
          <w:szCs w:val="24"/>
        </w:rPr>
      </w:pPr>
      <w:r w:rsidRPr="007B40EE">
        <w:rPr>
          <w:rFonts w:asciiTheme="minorEastAsia" w:hAnsiTheme="minorEastAsia" w:hint="eastAsia"/>
          <w:szCs w:val="24"/>
        </w:rPr>
        <w:t>選擇權定價公式，</w:t>
      </w:r>
      <w:r>
        <w:rPr>
          <w:rFonts w:asciiTheme="minorEastAsia" w:hAnsiTheme="minorEastAsia" w:hint="eastAsia"/>
          <w:szCs w:val="24"/>
        </w:rPr>
        <w:t>可透過投資組合的觀點詮釋，</w:t>
      </w:r>
      <w:r w:rsidRPr="007B40EE">
        <w:rPr>
          <w:rFonts w:asciiTheme="minorEastAsia" w:hAnsiTheme="minorEastAsia" w:hint="eastAsia"/>
          <w:szCs w:val="24"/>
        </w:rPr>
        <w:t>可視為借X元並透過連續複利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-rT</m:t>
            </m:r>
          </m:sup>
        </m:sSup>
        <m:r>
          <w:rPr>
            <w:rFonts w:ascii="Cambria Math" w:hAnsi="Cambria Math"/>
            <w:szCs w:val="24"/>
          </w:rPr>
          <m:t>*N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d2</m:t>
            </m:r>
          </m:e>
        </m:d>
      </m:oMath>
      <w:r w:rsidRPr="007B40EE">
        <w:rPr>
          <w:rFonts w:asciiTheme="minorEastAsia" w:hAnsiTheme="minorEastAsia" w:hint="eastAsia"/>
          <w:szCs w:val="24"/>
        </w:rPr>
        <w:t>折現，並購買</w:t>
      </w:r>
      <m:oMath>
        <m:r>
          <w:rPr>
            <w:rFonts w:ascii="Cambria Math" w:hAnsi="Cambria Math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d1</m:t>
            </m:r>
          </m:e>
        </m:d>
      </m:oMath>
      <w:r>
        <w:rPr>
          <w:rFonts w:asciiTheme="minorEastAsia" w:hAnsiTheme="minorEastAsia" w:hint="eastAsia"/>
          <w:szCs w:val="24"/>
        </w:rPr>
        <w:t>單位的標的物，如果現貨價格上升</w:t>
      </w:r>
      <m:oMath>
        <m:r>
          <w:rPr>
            <w:rFonts w:ascii="Cambria Math" w:hAnsi="Cambria Math"/>
            <w:szCs w:val="24"/>
          </w:rPr>
          <m:t>d1</m:t>
        </m:r>
      </m:oMath>
      <w:r>
        <w:rPr>
          <w:rFonts w:asciiTheme="minorEastAsia" w:hAnsiTheme="minorEastAsia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d2</m:t>
        </m:r>
      </m:oMath>
      <w:r>
        <w:rPr>
          <w:rFonts w:asciiTheme="minorEastAsia" w:hAnsiTheme="minorEastAsia" w:hint="eastAsia"/>
          <w:szCs w:val="24"/>
        </w:rPr>
        <w:t>也會上升，要借更多的錢去進行複製選擇權的動作。</w:t>
      </w:r>
    </w:p>
    <w:p w14:paraId="6404D059" w14:textId="77777777" w:rsidR="0077505A" w:rsidRDefault="0077505A" w:rsidP="0077505A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 w:rsidRPr="007B40EE">
        <w:rPr>
          <w:rFonts w:ascii="標楷體" w:eastAsia="標楷體" w:hAnsi="標楷體" w:hint="eastAsia"/>
          <w:b/>
          <w:bCs/>
          <w:sz w:val="32"/>
          <w:szCs w:val="32"/>
        </w:rPr>
        <w:t>（二）標的物之孽息對選擇權價值之影響</w:t>
      </w: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27B9D9BA" w14:textId="77777777" w:rsidR="0077505A" w:rsidRDefault="0077505A" w:rsidP="0077505A">
      <w:pPr>
        <w:spacing w:line="360" w:lineRule="auto"/>
        <w:ind w:left="144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對於標的物不發股利的美式選擇權來說，買權為一項延遲購買的權利，若提早執行代表既無法把錢存銀行賺取利息，執行後也無法獲得現金流，因而不會提早執行，並透過Put Call Parity建構歐式買權之下限，繼續持有：</w:t>
      </w:r>
      <m:oMath>
        <m:r>
          <w:rPr>
            <w:rFonts w:ascii="Cambria Math" w:eastAsiaTheme="majorEastAsia" w:hAnsi="Cambria Math"/>
            <w:szCs w:val="24"/>
          </w:rPr>
          <m:t>C≥S-X</m:t>
        </m:r>
        <m:sSup>
          <m:sSupPr>
            <m:ctrlPr>
              <w:rPr>
                <w:rFonts w:ascii="Cambria Math" w:eastAsiaTheme="maj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aj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ajorEastAsia" w:hAnsi="Cambria Math"/>
                <w:szCs w:val="24"/>
              </w:rPr>
              <m:t>-rt</m:t>
            </m:r>
          </m:sup>
        </m:sSup>
      </m:oMath>
      <w:r>
        <w:rPr>
          <w:rFonts w:asciiTheme="majorEastAsia" w:eastAsiaTheme="majorEastAsia" w:hAnsiTheme="majorEastAsia" w:hint="eastAsia"/>
          <w:szCs w:val="24"/>
        </w:rPr>
        <w:t>；若提早執行：</w:t>
      </w:r>
      <m:oMath>
        <m:r>
          <w:rPr>
            <w:rFonts w:ascii="Cambria Math" w:eastAsiaTheme="majorEastAsia" w:hAnsi="Cambria Math"/>
            <w:szCs w:val="24"/>
          </w:rPr>
          <m:t>C≥S-X</m:t>
        </m:r>
      </m:oMath>
      <w:r>
        <w:rPr>
          <w:rFonts w:asciiTheme="majorEastAsia" w:eastAsiaTheme="majorEastAsia" w:hAnsiTheme="majorEastAsia" w:hint="eastAsia"/>
          <w:szCs w:val="24"/>
        </w:rPr>
        <w:t>，並以這兩條歐式買權的下限條件說明：美式買權不會被提早執行。</w:t>
      </w:r>
    </w:p>
    <w:p w14:paraId="1FE27490" w14:textId="77777777" w:rsidR="0077505A" w:rsidRDefault="0077505A" w:rsidP="0077505A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七、選擇權的De</w:t>
      </w:r>
      <w:r>
        <w:rPr>
          <w:rFonts w:ascii="標楷體" w:eastAsia="標楷體" w:hAnsi="標楷體"/>
          <w:b/>
          <w:bCs/>
          <w:sz w:val="32"/>
          <w:szCs w:val="32"/>
        </w:rPr>
        <w:t>lta</w:t>
      </w:r>
      <w:r>
        <w:rPr>
          <w:rFonts w:ascii="標楷體" w:eastAsia="標楷體" w:hAnsi="標楷體" w:hint="eastAsia"/>
          <w:b/>
          <w:bCs/>
          <w:sz w:val="32"/>
          <w:szCs w:val="32"/>
        </w:rPr>
        <w:t>避險策略</w:t>
      </w:r>
    </w:p>
    <w:p w14:paraId="4D9E706F" w14:textId="77777777" w:rsidR="0077505A" w:rsidRDefault="0077505A" w:rsidP="0077505A">
      <w:pPr>
        <w:spacing w:line="360" w:lineRule="auto"/>
        <w:ind w:left="96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De</w:t>
      </w:r>
      <w:r>
        <w:rPr>
          <w:rFonts w:asciiTheme="majorEastAsia" w:eastAsiaTheme="majorEastAsia" w:hAnsiTheme="majorEastAsia"/>
          <w:szCs w:val="24"/>
        </w:rPr>
        <w:t>lta</w:t>
      </w:r>
      <w:r>
        <w:rPr>
          <w:rFonts w:asciiTheme="majorEastAsia" w:eastAsiaTheme="majorEastAsia" w:hAnsiTheme="majorEastAsia" w:hint="eastAsia"/>
          <w:szCs w:val="24"/>
        </w:rPr>
        <w:t>值可用許多不同角度去詮釋：(1</w:t>
      </w:r>
      <w:r>
        <w:rPr>
          <w:rFonts w:asciiTheme="majorEastAsia" w:eastAsiaTheme="majorEastAsia" w:hAnsiTheme="majorEastAsia"/>
          <w:szCs w:val="24"/>
        </w:rPr>
        <w:t>)</w:t>
      </w:r>
      <w:r>
        <w:rPr>
          <w:rFonts w:asciiTheme="majorEastAsia" w:eastAsiaTheme="majorEastAsia" w:hAnsiTheme="majorEastAsia" w:hint="eastAsia"/>
          <w:szCs w:val="24"/>
        </w:rPr>
        <w:t xml:space="preserve"> 現貨每變動極小單位，對選擇權價格所帶來的影響 (2) 透過定價公式，N(d</w:t>
      </w:r>
      <w:r>
        <w:rPr>
          <w:rFonts w:asciiTheme="majorEastAsia" w:eastAsiaTheme="majorEastAsia" w:hAnsiTheme="majorEastAsia"/>
          <w:szCs w:val="24"/>
        </w:rPr>
        <w:t>1</w:t>
      </w:r>
      <w:r>
        <w:rPr>
          <w:rFonts w:asciiTheme="majorEastAsia" w:eastAsiaTheme="majorEastAsia" w:hAnsiTheme="majorEastAsia" w:hint="eastAsia"/>
          <w:szCs w:val="24"/>
        </w:rPr>
        <w:t>)作為未來股價落在價內的機率 (</w:t>
      </w:r>
      <w:r>
        <w:rPr>
          <w:rFonts w:asciiTheme="majorEastAsia" w:eastAsiaTheme="majorEastAsia" w:hAnsiTheme="majorEastAsia"/>
          <w:szCs w:val="24"/>
        </w:rPr>
        <w:t>3</w:t>
      </w:r>
      <w:r>
        <w:rPr>
          <w:rFonts w:asciiTheme="majorEastAsia" w:eastAsiaTheme="majorEastAsia" w:hAnsiTheme="majorEastAsia" w:hint="eastAsia"/>
          <w:szCs w:val="24"/>
        </w:rPr>
        <w:t>)避險策略的依據(Ve</w:t>
      </w:r>
      <w:r>
        <w:rPr>
          <w:rFonts w:asciiTheme="majorEastAsia" w:eastAsiaTheme="majorEastAsia" w:hAnsiTheme="majorEastAsia"/>
          <w:szCs w:val="24"/>
        </w:rPr>
        <w:t>ga</w:t>
      </w:r>
      <w:r>
        <w:rPr>
          <w:rFonts w:asciiTheme="majorEastAsia" w:eastAsiaTheme="majorEastAsia" w:hAnsiTheme="majorEastAsia" w:hint="eastAsia"/>
          <w:szCs w:val="24"/>
        </w:rPr>
        <w:t>、G</w:t>
      </w:r>
      <w:r>
        <w:rPr>
          <w:rFonts w:asciiTheme="majorEastAsia" w:eastAsiaTheme="majorEastAsia" w:hAnsiTheme="majorEastAsia"/>
          <w:szCs w:val="24"/>
        </w:rPr>
        <w:t>amma</w:t>
      </w:r>
      <w:r>
        <w:rPr>
          <w:rFonts w:asciiTheme="majorEastAsia" w:eastAsiaTheme="majorEastAsia" w:hAnsiTheme="majorEastAsia" w:hint="eastAsia"/>
          <w:szCs w:val="24"/>
        </w:rPr>
        <w:t>亦可)，並針對持有標的物的長短部位不同去進行De</w:t>
      </w:r>
      <w:r>
        <w:rPr>
          <w:rFonts w:asciiTheme="majorEastAsia" w:eastAsiaTheme="majorEastAsia" w:hAnsiTheme="majorEastAsia"/>
          <w:szCs w:val="24"/>
        </w:rPr>
        <w:t>lta</w:t>
      </w:r>
      <w:r>
        <w:rPr>
          <w:rFonts w:asciiTheme="majorEastAsia" w:eastAsiaTheme="majorEastAsia" w:hAnsiTheme="majorEastAsia" w:hint="eastAsia"/>
          <w:szCs w:val="24"/>
        </w:rPr>
        <w:t>避險。</w:t>
      </w:r>
    </w:p>
    <w:p w14:paraId="524C2E09" w14:textId="77777777" w:rsidR="0077505A" w:rsidRDefault="0077505A" w:rsidP="0077505A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八、期貨選擇權與其合成策略</w:t>
      </w:r>
    </w:p>
    <w:p w14:paraId="4F8EF5B2" w14:textId="77777777" w:rsidR="0077505A" w:rsidRDefault="0077505A" w:rsidP="0077505A">
      <w:pPr>
        <w:spacing w:line="360" w:lineRule="auto"/>
        <w:ind w:left="96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除了複製選擇權以外，亦可利用選擇權複製期貨，並依選擇權所支付及收取之權利金，所形成的損益平衡點會右移或左移。期貨選擇權中的K是指：當選擇權到期時，用K</w:t>
      </w:r>
      <w:r>
        <w:rPr>
          <w:rFonts w:asciiTheme="majorEastAsia" w:eastAsiaTheme="majorEastAsia" w:hAnsiTheme="majorEastAsia"/>
          <w:szCs w:val="24"/>
        </w:rPr>
        <w:t>去簽期貨合約</w:t>
      </w:r>
      <w:r>
        <w:rPr>
          <w:rFonts w:asciiTheme="majorEastAsia" w:eastAsiaTheme="majorEastAsia" w:hAnsiTheme="majorEastAsia" w:hint="eastAsia"/>
          <w:szCs w:val="24"/>
        </w:rPr>
        <w:t>，並以遠期價格為現貨，作為是否行使選擇權之依據，並以此去賺取基差風險(以現貨及期貨的波動所帶來的風險，當避險的時間點與所投資之組合到期日相同，則不存在)。</w:t>
      </w:r>
    </w:p>
    <w:p w14:paraId="3A74931E" w14:textId="77777777" w:rsidR="0077505A" w:rsidRDefault="0077505A" w:rsidP="0077505A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九、選擇權之生活案例</w:t>
      </w:r>
    </w:p>
    <w:p w14:paraId="253CBD7E" w14:textId="77777777" w:rsidR="0077505A" w:rsidRDefault="0077505A" w:rsidP="0077505A">
      <w:pPr>
        <w:spacing w:line="360" w:lineRule="auto"/>
        <w:rPr>
          <w:rFonts w:asciiTheme="majorEastAsia" w:eastAsiaTheme="majorEastAsia" w:hAnsiTheme="maj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Theme="majorEastAsia" w:eastAsiaTheme="majorEastAsia" w:hAnsiTheme="majorEastAsia" w:hint="eastAsia"/>
          <w:szCs w:val="24"/>
        </w:rPr>
        <w:t>除了講義中所提到的例子以外，像是QE政策也可以選擇權的角度去分</w:t>
      </w:r>
      <w:r>
        <w:rPr>
          <w:rFonts w:asciiTheme="majorEastAsia" w:eastAsiaTheme="majorEastAsia" w:hAnsiTheme="majorEastAsia" w:hint="eastAsia"/>
          <w:szCs w:val="24"/>
        </w:rPr>
        <w:lastRenderedPageBreak/>
        <w:t>析。</w:t>
      </w:r>
    </w:p>
    <w:p w14:paraId="263E4B37" w14:textId="77777777" w:rsidR="0077505A" w:rsidRDefault="0077505A" w:rsidP="0077505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問題</w:t>
      </w:r>
    </w:p>
    <w:p w14:paraId="3ED8388D" w14:textId="77777777" w:rsidR="0077505A" w:rsidRDefault="0077505A" w:rsidP="0077505A">
      <w:pPr>
        <w:pStyle w:val="a7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以二元樹為例，就有許多不同的模型可以去預測價格，如何知道要使用哪一種？</w:t>
      </w:r>
    </w:p>
    <w:p w14:paraId="07FE3C36" w14:textId="77777777" w:rsidR="0077505A" w:rsidRDefault="0077505A" w:rsidP="0077505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保證V</w:t>
      </w:r>
      <w:r>
        <w:rPr>
          <w:rFonts w:ascii="標楷體" w:eastAsia="標楷體" w:hAnsi="標楷體"/>
          <w:b/>
          <w:bCs/>
          <w:sz w:val="32"/>
          <w:szCs w:val="32"/>
        </w:rPr>
        <w:t>.</w:t>
      </w:r>
      <w:r>
        <w:rPr>
          <w:rFonts w:ascii="標楷體" w:eastAsia="標楷體" w:hAnsi="標楷體" w:hint="eastAsia"/>
          <w:b/>
          <w:bCs/>
          <w:sz w:val="32"/>
          <w:szCs w:val="32"/>
        </w:rPr>
        <w:t>S 保險</w:t>
      </w:r>
    </w:p>
    <w:p w14:paraId="3F58A5EE" w14:textId="77777777" w:rsidR="0077505A" w:rsidRDefault="0077505A" w:rsidP="0077505A">
      <w:pPr>
        <w:spacing w:line="360" w:lineRule="auto"/>
        <w:ind w:firstLine="4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保證：保證人跟債權人約定，若債務人不履行債務，保證人將依照約定履行債務或者承擔責任的行為。</w:t>
      </w:r>
    </w:p>
    <w:p w14:paraId="46E26BC9" w14:textId="77777777" w:rsidR="0077505A" w:rsidRPr="00DE4CE1" w:rsidRDefault="0077505A" w:rsidP="0077505A">
      <w:pPr>
        <w:spacing w:line="360" w:lineRule="auto"/>
        <w:ind w:firstLine="4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保險：以集中起來的保險費建立保險基金，用於賠償被保險人因自然災害或意外所造成的損失，或對個人因死亡、傷殘、疾病或契約的期限已滿，給付保險金責任。</w:t>
      </w:r>
    </w:p>
    <w:p w14:paraId="774DCD11" w14:textId="77777777" w:rsidR="0077505A" w:rsidRPr="004261E4" w:rsidRDefault="0077505A" w:rsidP="0077505A">
      <w:pPr>
        <w:rPr>
          <w:rFonts w:asciiTheme="majorEastAsia" w:eastAsiaTheme="majorEastAsia" w:hAnsiTheme="majorEastAsia"/>
          <w:szCs w:val="24"/>
        </w:rPr>
      </w:pPr>
    </w:p>
    <w:p w14:paraId="7EC0F737" w14:textId="77777777" w:rsidR="0077505A" w:rsidRPr="00CE7D5C" w:rsidRDefault="0077505A" w:rsidP="0077505A">
      <w:pPr>
        <w:rPr>
          <w:rFonts w:asciiTheme="majorEastAsia" w:eastAsiaTheme="majorEastAsia" w:hAnsiTheme="majorEastAsia"/>
          <w:szCs w:val="24"/>
        </w:rPr>
      </w:pPr>
    </w:p>
    <w:p w14:paraId="4BD8E481" w14:textId="77777777" w:rsidR="0077505A" w:rsidRPr="00FF5562" w:rsidRDefault="0077505A" w:rsidP="0077505A">
      <w:pPr>
        <w:rPr>
          <w:rFonts w:asciiTheme="majorEastAsia" w:eastAsiaTheme="majorEastAsia" w:hAnsiTheme="majorEastAsia"/>
          <w:szCs w:val="24"/>
        </w:rPr>
      </w:pPr>
    </w:p>
    <w:p w14:paraId="5AC2F583" w14:textId="77777777" w:rsidR="0077505A" w:rsidRDefault="0077505A" w:rsidP="0077505A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Theme="majorEastAsia" w:eastAsiaTheme="majorEastAsia" w:hAnsiTheme="majorEastAsia"/>
          <w:szCs w:val="24"/>
        </w:rPr>
        <w:tab/>
      </w:r>
    </w:p>
    <w:p w14:paraId="04519BD4" w14:textId="77777777" w:rsidR="0077505A" w:rsidRPr="00AD5F14" w:rsidRDefault="0077505A" w:rsidP="0077505A">
      <w:pPr>
        <w:rPr>
          <w:rFonts w:asciiTheme="majorEastAsia" w:eastAsiaTheme="majorEastAsia" w:hAnsiTheme="majorEastAsia"/>
          <w:szCs w:val="24"/>
        </w:rPr>
      </w:pPr>
    </w:p>
    <w:p w14:paraId="49D3C372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BFDC56D" w14:textId="77777777" w:rsidR="0077505A" w:rsidRPr="00AD5F14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18BDEB5" w14:textId="77777777" w:rsidR="0077505A" w:rsidRPr="007B40EE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DEBA61C" w14:textId="77777777" w:rsidR="0077505A" w:rsidRPr="007B40EE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45070A4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CFE0FB5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9AD5B37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A90F2E5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5C31196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7866B87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AD7F12F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94C7B6D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627FF69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77E0788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8F3C293" w14:textId="77777777" w:rsidR="0077505A" w:rsidRDefault="0077505A" w:rsidP="0077505A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A7C56E5" w14:textId="77777777" w:rsidR="0077505A" w:rsidRPr="007B40EE" w:rsidRDefault="0077505A" w:rsidP="0077505A">
      <w:pPr>
        <w:rPr>
          <w:rFonts w:ascii="標楷體" w:eastAsia="標楷體" w:hAnsi="標楷體"/>
          <w:b/>
          <w:bCs/>
          <w:sz w:val="32"/>
          <w:szCs w:val="32"/>
        </w:rPr>
      </w:pPr>
    </w:p>
    <w:p w14:paraId="6073F84A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lattice  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SimplifiedTree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(S0,N)</w:t>
      </w:r>
    </w:p>
    <w:p w14:paraId="5C090619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step = 1/sqrt(N+7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613BD767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lattice = ones(N+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+1)*S0;</w:t>
      </w:r>
    </w:p>
    <w:p w14:paraId="4FC380F4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A36F81F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first</w:t>
      </w:r>
      <w:proofErr w:type="gramEnd"/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column Âk¹s</w:t>
      </w:r>
    </w:p>
    <w:p w14:paraId="49D96AD1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+1</w:t>
      </w:r>
    </w:p>
    <w:p w14:paraId="34E3BE8D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lattice(i,1)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0;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011ECE9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ABA5745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 xml:space="preserve"> </w:t>
      </w:r>
    </w:p>
    <w:p w14:paraId="09B2EDDA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2:1:N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+1</w:t>
      </w:r>
    </w:p>
    <w:p w14:paraId="305B7A5F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%»¼</w:t>
      </w:r>
      <w:proofErr w:type="gramStart"/>
      <w:r>
        <w:rPr>
          <w:rFonts w:ascii="Courier New" w:hAnsi="Courier New" w:cs="Courier New"/>
          <w:color w:val="028009"/>
          <w:kern w:val="0"/>
          <w:sz w:val="26"/>
          <w:szCs w:val="26"/>
        </w:rPr>
        <w:t>¥[</w:t>
      </w:r>
      <w:proofErr w:type="gramEnd"/>
    </w:p>
    <w:p w14:paraId="40724E80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1:j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-1</w:t>
      </w:r>
    </w:p>
    <w:p w14:paraId="7C3A62FB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lattice(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lattice(i,j-1)+step;</w:t>
      </w:r>
    </w:p>
    <w:p w14:paraId="66F43942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2457F67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%¹ï¨¤»¼´î</w:t>
      </w:r>
    </w:p>
    <w:p w14:paraId="7F3577DE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lattice(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j,j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lattice(j-1,j-1)-step;</w:t>
      </w:r>
    </w:p>
    <w:p w14:paraId="41447D9A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</w:p>
    <w:p w14:paraId="7B9363D2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j+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+1</w:t>
      </w:r>
    </w:p>
    <w:p w14:paraId="60695830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lattice(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0;</w:t>
      </w:r>
    </w:p>
    <w:p w14:paraId="44690EAA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D6478D0" w14:textId="77777777" w:rsidR="00715F35" w:rsidRDefault="00715F35" w:rsidP="00715F3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8496451" w14:textId="42B12D59" w:rsidR="00FC44B8" w:rsidRDefault="00715F35">
      <w:r>
        <w:rPr>
          <w:noProof/>
        </w:rPr>
        <w:drawing>
          <wp:inline distT="0" distB="0" distL="0" distR="0" wp14:anchorId="22257EAF" wp14:editId="56B437F6">
            <wp:extent cx="5486400" cy="20034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4B8" w:rsidSect="00FE0E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1D7F" w14:textId="77777777" w:rsidR="00716B03" w:rsidRDefault="00716B03" w:rsidP="0077505A">
      <w:r>
        <w:separator/>
      </w:r>
    </w:p>
  </w:endnote>
  <w:endnote w:type="continuationSeparator" w:id="0">
    <w:p w14:paraId="7277C236" w14:textId="77777777" w:rsidR="00716B03" w:rsidRDefault="00716B03" w:rsidP="0077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3E09" w14:textId="77777777" w:rsidR="00716B03" w:rsidRDefault="00716B03" w:rsidP="0077505A">
      <w:r>
        <w:separator/>
      </w:r>
    </w:p>
  </w:footnote>
  <w:footnote w:type="continuationSeparator" w:id="0">
    <w:p w14:paraId="4CDCF34C" w14:textId="77777777" w:rsidR="00716B03" w:rsidRDefault="00716B03" w:rsidP="00775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B65"/>
    <w:multiLevelType w:val="hybridMultilevel"/>
    <w:tmpl w:val="ED3CC572"/>
    <w:lvl w:ilvl="0" w:tplc="4C7CBC70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35"/>
    <w:rsid w:val="00715F35"/>
    <w:rsid w:val="00716B03"/>
    <w:rsid w:val="0077505A"/>
    <w:rsid w:val="00FC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E4E30"/>
  <w15:chartTrackingRefBased/>
  <w15:docId w15:val="{3E78DDE4-3297-4B5A-AAB0-B602AE81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0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50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50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505A"/>
    <w:rPr>
      <w:sz w:val="20"/>
      <w:szCs w:val="20"/>
    </w:rPr>
  </w:style>
  <w:style w:type="paragraph" w:styleId="a7">
    <w:name w:val="List Paragraph"/>
    <w:basedOn w:val="a"/>
    <w:uiPriority w:val="34"/>
    <w:qFormat/>
    <w:rsid w:val="007750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dcterms:created xsi:type="dcterms:W3CDTF">2021-06-24T10:14:00Z</dcterms:created>
  <dcterms:modified xsi:type="dcterms:W3CDTF">2021-06-24T13:05:00Z</dcterms:modified>
</cp:coreProperties>
</file>