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5134" w14:textId="77777777" w:rsidR="000019B7" w:rsidRDefault="000019B7" w:rsidP="000019B7">
      <w:pPr>
        <w:spacing w:line="360" w:lineRule="auto"/>
        <w:jc w:val="center"/>
        <w:rPr>
          <w:rFonts w:ascii="標楷體" w:eastAsia="標楷體" w:hAnsi="標楷體"/>
          <w:sz w:val="48"/>
          <w:szCs w:val="48"/>
        </w:rPr>
      </w:pPr>
      <w:r w:rsidRPr="000D6947">
        <w:rPr>
          <w:rFonts w:ascii="標楷體" w:eastAsia="標楷體" w:hAnsi="標楷體" w:hint="eastAsia"/>
          <w:sz w:val="48"/>
          <w:szCs w:val="48"/>
        </w:rPr>
        <w:t>金融商品設計與評價</w:t>
      </w:r>
    </w:p>
    <w:p w14:paraId="589009A3" w14:textId="77777777" w:rsidR="000019B7" w:rsidRDefault="000019B7" w:rsidP="000019B7">
      <w:pPr>
        <w:spacing w:line="360" w:lineRule="auto"/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匯率相關金融商品II</w:t>
      </w:r>
    </w:p>
    <w:p w14:paraId="28CE9293" w14:textId="77777777" w:rsidR="000019B7" w:rsidRDefault="000019B7" w:rsidP="000019B7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參、遠期外匯契約的合成</w:t>
      </w:r>
    </w:p>
    <w:p w14:paraId="7ED2E5AD" w14:textId="77777777" w:rsidR="00636BB1" w:rsidRDefault="000019B7" w:rsidP="000019B7">
      <w:pPr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CC1A5" wp14:editId="1AED84E0">
                <wp:simplePos x="0" y="0"/>
                <wp:positionH relativeFrom="column">
                  <wp:posOffset>332510</wp:posOffset>
                </wp:positionH>
                <wp:positionV relativeFrom="paragraph">
                  <wp:posOffset>360218</wp:posOffset>
                </wp:positionV>
                <wp:extent cx="3435754" cy="90055"/>
                <wp:effectExtent l="0" t="0" r="12700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754" cy="90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06550" id="矩形 2" o:spid="_x0000_s1026" style="position:absolute;margin-left:26.2pt;margin-top:28.35pt;width:270.55pt;height: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z+zmwIAAKgFAAAOAAAAZHJzL2Uyb0RvYy54bWysVM1uEzEQviPxDpbvdDdpQmnUTRW1KkKq&#10;2ooU9ex47awlr8fYTjbhZZC48RA8DuI1GHt/UkrFoSIHZ2Zn5vPM55k5O9/VmmyF8wpMQUdHOSXC&#10;cCiVWRf00/3Vm3eU+MBMyTQYUdC98PR8/vrVWWNnYgwV6FI4giDGzxpb0CoEO8syzytRM38EVhg0&#10;SnA1C6i6dVY61iB6rbNxnr/NGnCldcCF9/j1sjXSecKXUvBwK6UXgeiCYm4hnS6dq3hm8zM2Wztm&#10;K8W7NNgLsqiZMnjpAHXJAiMbp/6CqhV34EGGIw51BlIqLlINWM0of1LNsmJWpFqQHG8Hmvz/g+U3&#10;2ztHVFnQMSWG1fhEv75+//njGxlHbhrrZ+iytHeu0zyKsdCddHX8xxLILvG5H/gUu0A4fjyeHE9P&#10;phNKONpO83w6jZjZIdg6H94LqEkUCurwuRKLbHvtQ+vau8S7PGhVXimtkxJbRFxoR7YMH3e1HnXg&#10;f3hp86JAzDFGZrH+tuIkhb0WEU+bj0Iia1jjOCWc+vWQDONcmDBqTRUrRZvjNMdfn2WffiIkAUZk&#10;idUN2B1A79mC9NgtPZ1/DBWp3Yfg/F+JtcFDRLoZTBiCa2XAPQegsaru5ta/J6mlJrK0gnKPPeWg&#10;HTZv+ZXC571mPtwxh9OFc4gbI9ziITU0BYVOoqQC9+W579Efmx6tlDQ4rQX1nzfMCUr0B4PjcDqa&#10;TOJ4J2UyPRmj4h5bVo8tZlNfAPbMCHeT5UmM/kH3onRQP+BiWcRb0cQMx7sLyoPrlYvQbhFcTVws&#10;FskNR9qycG2WlkfwyGps3/vdA3O26/GAw3ED/WSz2ZNWb31jpIHFJoBUaQ4OvHZ84zpIjdOtrrhv&#10;HuvJ67Bg578BAAD//wMAUEsDBBQABgAIAAAAIQB+D6Nu3wAAAAgBAAAPAAAAZHJzL2Rvd25yZXYu&#10;eG1sTI9BT4QwEIXvJv6HZky8uUWURZCyMUZjTDzorsnucRamQKRTQguL/9560tPL5L28902xWUwv&#10;ZhpdZ1nB9SoCQVzZuuNGwefu+eoOhPPINfaWScE3OdiU52cF5rU98QfNW9+IUMIuRwWt90Mupata&#10;MuhWdiAOnrajQR/OsZH1iKdQbnoZR9FaGuw4LLQ40GNL1dd2MgoOGl92T6/uTep41ln3Pu11Oil1&#10;ebE83IPwtPi/MPziB3QoA9PRTlw70StI4tuQDLpOQQQ/yW4SEEcFaZSBLAv5/4HyBwAA//8DAFBL&#10;AQItABQABgAIAAAAIQC2gziS/gAAAOEBAAATAAAAAAAAAAAAAAAAAAAAAABbQ29udGVudF9UeXBl&#10;c10ueG1sUEsBAi0AFAAGAAgAAAAhADj9If/WAAAAlAEAAAsAAAAAAAAAAAAAAAAALwEAAF9yZWxz&#10;Ly5yZWxzUEsBAi0AFAAGAAgAAAAhAPhnP7ObAgAAqAUAAA4AAAAAAAAAAAAAAAAALgIAAGRycy9l&#10;Mm9Eb2MueG1sUEsBAi0AFAAGAAgAAAAhAH4Po27fAAAACAEAAA8AAAAAAAAAAAAAAAAA9QQAAGRy&#10;cy9kb3ducmV2LnhtbFBLBQYAAAAABAAEAPMAAAABBgAAAAA=&#10;" fillcolor="white [3212]" strokecolor="white [3212]" strokeweight="1pt"/>
            </w:pict>
          </mc:Fallback>
        </mc:AlternateContent>
      </w: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可以透過未來所需之現金，藉由利率平價理論去鎖定遠期匯率。</w:t>
      </w:r>
    </w:p>
    <w:p w14:paraId="17D9DB82" w14:textId="07A61259" w:rsidR="000019B7" w:rsidRDefault="000019B7" w:rsidP="000019B7">
      <w:pPr>
        <w:spacing w:line="360" w:lineRule="auto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50F461D" wp14:editId="56019DFA">
            <wp:extent cx="5274310" cy="14795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D65B" w14:textId="77777777" w:rsidR="000019B7" w:rsidRDefault="000019B7" w:rsidP="000019B7">
      <w:pPr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假設出口商未來需要1</w:t>
      </w:r>
      <w:r>
        <w:rPr>
          <w:rFonts w:ascii="標楷體" w:eastAsia="標楷體" w:hAnsi="標楷體"/>
          <w:szCs w:val="24"/>
        </w:rPr>
        <w:t>00</w:t>
      </w:r>
      <w:r>
        <w:rPr>
          <w:rFonts w:ascii="標楷體" w:eastAsia="標楷體" w:hAnsi="標楷體" w:hint="eastAsia"/>
          <w:szCs w:val="24"/>
        </w:rPr>
        <w:t>€，因此怕歐元在未來升值，台幣貶值，需要作鎖定匯率的動作：現在借e</w:t>
      </w:r>
      <w:r>
        <w:rPr>
          <w:rFonts w:ascii="標楷體" w:eastAsia="標楷體" w:hAnsi="標楷體" w:hint="eastAsia"/>
          <w:szCs w:val="24"/>
          <w:vertAlign w:val="subscript"/>
        </w:rPr>
        <w:t>0</w:t>
      </w:r>
      <w:r>
        <w:rPr>
          <w:rFonts w:ascii="標楷體" w:eastAsia="標楷體" w:hAnsi="標楷體" w:hint="eastAsia"/>
          <w:szCs w:val="24"/>
        </w:rPr>
        <w:t>*(</w:t>
      </w:r>
      <w:r>
        <w:rPr>
          <w:rFonts w:ascii="標楷體" w:eastAsia="標楷體" w:hAnsi="標楷體"/>
          <w:szCs w:val="24"/>
        </w:rPr>
        <w:t>100/(1+r</w:t>
      </w:r>
      <w:r>
        <w:rPr>
          <w:rFonts w:ascii="標楷體" w:eastAsia="標楷體" w:hAnsi="標楷體"/>
          <w:szCs w:val="24"/>
          <w:vertAlign w:val="subscript"/>
        </w:rPr>
        <w:t>f</w:t>
      </w:r>
      <w:r>
        <w:rPr>
          <w:rFonts w:ascii="標楷體" w:eastAsia="標楷體" w:hAnsi="標楷體"/>
          <w:szCs w:val="24"/>
        </w:rPr>
        <w:t>))</w:t>
      </w:r>
      <w:r>
        <w:rPr>
          <w:rFonts w:ascii="標楷體" w:eastAsia="標楷體" w:hAnsi="標楷體" w:hint="eastAsia"/>
          <w:szCs w:val="24"/>
        </w:rPr>
        <w:t>的NTD去存入(</w:t>
      </w:r>
      <w:r>
        <w:rPr>
          <w:rFonts w:ascii="標楷體" w:eastAsia="標楷體" w:hAnsi="標楷體"/>
          <w:szCs w:val="24"/>
        </w:rPr>
        <w:t>100/(1+r</w:t>
      </w:r>
      <w:r>
        <w:rPr>
          <w:rFonts w:ascii="標楷體" w:eastAsia="標楷體" w:hAnsi="標楷體"/>
          <w:szCs w:val="24"/>
          <w:vertAlign w:val="subscript"/>
        </w:rPr>
        <w:t>f</w:t>
      </w:r>
      <w:r>
        <w:rPr>
          <w:rFonts w:ascii="標楷體" w:eastAsia="標楷體" w:hAnsi="標楷體"/>
          <w:szCs w:val="24"/>
        </w:rPr>
        <w:t>))</w:t>
      </w:r>
      <w:r>
        <w:rPr>
          <w:rFonts w:ascii="標楷體" w:eastAsia="標楷體" w:hAnsi="標楷體" w:hint="eastAsia"/>
          <w:szCs w:val="24"/>
        </w:rPr>
        <w:t>€，未來便還e</w:t>
      </w:r>
      <w:r>
        <w:rPr>
          <w:rFonts w:ascii="標楷體" w:eastAsia="標楷體" w:hAnsi="標楷體" w:hint="eastAsia"/>
          <w:szCs w:val="24"/>
          <w:vertAlign w:val="subscript"/>
        </w:rPr>
        <w:t>0</w:t>
      </w:r>
      <w:r>
        <w:rPr>
          <w:rFonts w:ascii="標楷體" w:eastAsia="標楷體" w:hAnsi="標楷體" w:hint="eastAsia"/>
          <w:szCs w:val="24"/>
        </w:rPr>
        <w:t>*(</w:t>
      </w:r>
      <w:r>
        <w:rPr>
          <w:rFonts w:ascii="標楷體" w:eastAsia="標楷體" w:hAnsi="標楷體"/>
          <w:szCs w:val="24"/>
        </w:rPr>
        <w:t>100/(1+r</w:t>
      </w:r>
      <w:r>
        <w:rPr>
          <w:rFonts w:ascii="標楷體" w:eastAsia="標楷體" w:hAnsi="標楷體"/>
          <w:szCs w:val="24"/>
          <w:vertAlign w:val="subscript"/>
        </w:rPr>
        <w:t>f</w:t>
      </w:r>
      <w:r>
        <w:rPr>
          <w:rFonts w:ascii="標楷體" w:eastAsia="標楷體" w:hAnsi="標楷體"/>
          <w:szCs w:val="24"/>
        </w:rPr>
        <w:t>))</w:t>
      </w:r>
      <w:r>
        <w:rPr>
          <w:rFonts w:ascii="標楷體" w:eastAsia="標楷體" w:hAnsi="標楷體" w:hint="eastAsia"/>
          <w:szCs w:val="24"/>
        </w:rPr>
        <w:t>*(1</w:t>
      </w:r>
      <w:r>
        <w:rPr>
          <w:rFonts w:ascii="標楷體" w:eastAsia="標楷體" w:hAnsi="標楷體"/>
          <w:szCs w:val="24"/>
        </w:rPr>
        <w:t>+r</w:t>
      </w:r>
      <w:r>
        <w:rPr>
          <w:rFonts w:ascii="標楷體" w:eastAsia="標楷體" w:hAnsi="標楷體"/>
          <w:szCs w:val="24"/>
          <w:vertAlign w:val="subscript"/>
        </w:rPr>
        <w:t>d</w:t>
      </w:r>
      <w:r>
        <w:rPr>
          <w:rFonts w:ascii="標楷體" w:eastAsia="標楷體" w:hAnsi="標楷體" w:hint="eastAsia"/>
          <w:szCs w:val="24"/>
        </w:rPr>
        <w:t>)，達到鎖定遠期匯率為e</w:t>
      </w:r>
      <w:r>
        <w:rPr>
          <w:rFonts w:ascii="標楷體" w:eastAsia="標楷體" w:hAnsi="標楷體" w:hint="eastAsia"/>
          <w:szCs w:val="24"/>
          <w:vertAlign w:val="subscript"/>
        </w:rPr>
        <w:t>0</w:t>
      </w:r>
      <w:r>
        <w:rPr>
          <w:rFonts w:ascii="標楷體" w:eastAsia="標楷體" w:hAnsi="標楷體" w:hint="eastAsia"/>
          <w:szCs w:val="24"/>
        </w:rPr>
        <w:t>*</w:t>
      </w:r>
      <w:r>
        <w:rPr>
          <w:rFonts w:ascii="標楷體" w:eastAsia="標楷體" w:hAnsi="標楷體"/>
          <w:szCs w:val="24"/>
        </w:rPr>
        <w:t>(1+r</w:t>
      </w:r>
      <w:r>
        <w:rPr>
          <w:rFonts w:ascii="標楷體" w:eastAsia="標楷體" w:hAnsi="標楷體"/>
          <w:szCs w:val="24"/>
          <w:vertAlign w:val="subscript"/>
        </w:rPr>
        <w:t>f</w:t>
      </w:r>
      <w:r>
        <w:rPr>
          <w:rFonts w:ascii="標楷體" w:eastAsia="標楷體" w:hAnsi="標楷體"/>
          <w:szCs w:val="24"/>
        </w:rPr>
        <w:t>))</w:t>
      </w:r>
      <w:r>
        <w:rPr>
          <w:rFonts w:ascii="標楷體" w:eastAsia="標楷體" w:hAnsi="標楷體" w:hint="eastAsia"/>
          <w:szCs w:val="24"/>
        </w:rPr>
        <w:t>*(1</w:t>
      </w:r>
      <w:r>
        <w:rPr>
          <w:rFonts w:ascii="標楷體" w:eastAsia="標楷體" w:hAnsi="標楷體"/>
          <w:szCs w:val="24"/>
        </w:rPr>
        <w:t>+r</w:t>
      </w:r>
      <w:r>
        <w:rPr>
          <w:rFonts w:ascii="標楷體" w:eastAsia="標楷體" w:hAnsi="標楷體"/>
          <w:szCs w:val="24"/>
          <w:vertAlign w:val="subscript"/>
        </w:rPr>
        <w:t>d</w:t>
      </w:r>
      <w:r>
        <w:rPr>
          <w:rFonts w:ascii="標楷體" w:eastAsia="標楷體" w:hAnsi="標楷體" w:hint="eastAsia"/>
          <w:szCs w:val="24"/>
        </w:rPr>
        <w:t>)的效果。</w:t>
      </w:r>
    </w:p>
    <w:p w14:paraId="361A2984" w14:textId="77777777" w:rsidR="000019B7" w:rsidRDefault="000019B7" w:rsidP="000019B7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肆、區間遠期外匯</w:t>
      </w:r>
    </w:p>
    <w:p w14:paraId="24B7793B" w14:textId="77777777" w:rsidR="000019B7" w:rsidRDefault="000019B7" w:rsidP="000019B7">
      <w:pPr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 w:val="28"/>
          <w:szCs w:val="28"/>
        </w:rPr>
        <w:tab/>
      </w:r>
      <w:r w:rsidRPr="0042542C">
        <w:rPr>
          <w:rFonts w:ascii="標楷體" w:eastAsia="標楷體" w:hAnsi="標楷體" w:hint="eastAsia"/>
          <w:szCs w:val="24"/>
        </w:rPr>
        <w:t>區間遠期外匯可由一買權、一賣權組合出，對於出口商來說，其有一匯率底線，低於此底線可能造成虧損，因而賣權的履約價格由出口商依照自己的底線設定，而買權之履約價格則由銀行依據買賣權權利金相等決定；而進口商反之亦然，改買入以上限為履約價的買權，而賣權之履約價格同樣由銀行依據買買權之權利金相等決定。</w:t>
      </w:r>
    </w:p>
    <w:p w14:paraId="53C51C50" w14:textId="4682AE37" w:rsidR="002832E9" w:rsidRDefault="000019B7" w:rsidP="000019B7">
      <w:pPr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賣匯，在面對不同的市場局勢時，作不同的策略所得到的保護是有差別的，比如大跌時：遠期外匯 &gt; 區間遠期外匯 &gt; 賣權，大漲時：賣權 &gt; 區間遠期外匯 &gt; 遠期外匯，盤整：區間遠期外匯 &gt; 遠期外匯 &gt; 賣權，可以發現區間遠期外匯，無論在甚麼情況，都不會是最糟。</w:t>
      </w:r>
    </w:p>
    <w:p w14:paraId="1E624AD3" w14:textId="77777777" w:rsidR="002832E9" w:rsidRPr="002832E9" w:rsidRDefault="002832E9" w:rsidP="000019B7">
      <w:pPr>
        <w:spacing w:line="360" w:lineRule="auto"/>
        <w:rPr>
          <w:rFonts w:ascii="標楷體" w:eastAsia="標楷體" w:hAnsi="標楷體"/>
          <w:szCs w:val="24"/>
        </w:rPr>
      </w:pPr>
    </w:p>
    <w:p w14:paraId="4F551BBF" w14:textId="6467A6DC" w:rsidR="000019B7" w:rsidRPr="002832E9" w:rsidRDefault="000019B7" w:rsidP="002832E9">
      <w:pPr>
        <w:spacing w:line="360" w:lineRule="auto"/>
        <w:rPr>
          <w:rFonts w:ascii="標楷體" w:eastAsia="標楷體" w:hAnsi="標楷體"/>
          <w:sz w:val="28"/>
          <w:szCs w:val="28"/>
        </w:rPr>
      </w:pPr>
      <w:r w:rsidRPr="007E07AB">
        <w:rPr>
          <w:rFonts w:ascii="標楷體" w:eastAsia="標楷體" w:hAnsi="標楷體" w:hint="eastAsia"/>
          <w:sz w:val="28"/>
          <w:szCs w:val="28"/>
        </w:rPr>
        <w:t>問題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3B5F8E">
        <w:rPr>
          <w:rFonts w:ascii="標楷體" w:eastAsia="標楷體" w:hAnsi="標楷體" w:hint="eastAsia"/>
          <w:sz w:val="28"/>
          <w:szCs w:val="28"/>
        </w:rPr>
        <w:t>利率交換的衍生品有分成兩類</w:t>
      </w:r>
      <w:r w:rsidR="002832E9">
        <w:rPr>
          <w:rFonts w:ascii="標楷體" w:eastAsia="標楷體" w:hAnsi="標楷體" w:hint="eastAsia"/>
          <w:sz w:val="28"/>
          <w:szCs w:val="28"/>
        </w:rPr>
        <w:t>：</w:t>
      </w:r>
      <w:r w:rsidR="003B5F8E">
        <w:rPr>
          <w:rFonts w:ascii="標楷體" w:eastAsia="標楷體" w:hAnsi="標楷體" w:hint="eastAsia"/>
          <w:sz w:val="28"/>
          <w:szCs w:val="28"/>
        </w:rPr>
        <w:t>一個初始日跟利率交換相同，另一個則是等利率交換到期後才開始，要怎麼決定哪種商品較適合？</w:t>
      </w:r>
    </w:p>
    <w:p w14:paraId="6B8CC7D8" w14:textId="171658B0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lastRenderedPageBreak/>
        <w:t>%BlsMC.m</w:t>
      </w:r>
    </w:p>
    <w:p w14:paraId="12DB9D50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[Price,CI] = BlsMC(S0,X,r,T,sigma,NRepl);</w:t>
      </w:r>
    </w:p>
    <w:p w14:paraId="0E2EB2A6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nuT = (r - 0.5*sigma^2)*T;</w:t>
      </w:r>
    </w:p>
    <w:p w14:paraId="308840B4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siT = sigma* sqrt(T);</w:t>
      </w:r>
    </w:p>
    <w:p w14:paraId="76270E48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535BD8A4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592E86B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DiscPayoff = exp(-r*T) * max( 0 , X-S0*exp(nuT+siT*randn(NRepl,1)));</w:t>
      </w:r>
    </w:p>
    <w:p w14:paraId="6FEB065E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[Price, VarPrice, CI] = normfit(DiscPayoff);</w:t>
      </w:r>
    </w:p>
    <w:p w14:paraId="26603884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21DFF838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%CompBlsMc.m</w:t>
      </w:r>
    </w:p>
    <w:p w14:paraId="284243D4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S0=50;</w:t>
      </w:r>
    </w:p>
    <w:p w14:paraId="1130DA6F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X=52;</w:t>
      </w:r>
    </w:p>
    <w:p w14:paraId="1A389391" w14:textId="77777777" w:rsidR="00A37E68" w:rsidRP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A37E68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r=0.1;</w:t>
      </w:r>
    </w:p>
    <w:p w14:paraId="0781E0D8" w14:textId="77777777" w:rsidR="00A37E68" w:rsidRP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A37E68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T=5/12;</w:t>
      </w:r>
    </w:p>
    <w:p w14:paraId="1C9B76AB" w14:textId="77777777" w:rsidR="00A37E68" w:rsidRP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A37E68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sigma=0.4;</w:t>
      </w:r>
    </w:p>
    <w:p w14:paraId="13243A71" w14:textId="77777777" w:rsidR="00A37E68" w:rsidRP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A37E68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NRepl1=100000;</w:t>
      </w:r>
    </w:p>
    <w:p w14:paraId="6FE2BCFE" w14:textId="77777777" w:rsidR="00A37E68" w:rsidRP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A37E68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NRepl2=200000;</w:t>
      </w:r>
    </w:p>
    <w:p w14:paraId="68794219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Bls = blsprice(S0,X,r,T,sigma);</w:t>
      </w:r>
    </w:p>
    <w:p w14:paraId="0EE9B398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69B8105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randn(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'seed'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,0);</w:t>
      </w:r>
    </w:p>
    <w:p w14:paraId="06B17C81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[MC1000,CI1000] = BlsMC(S0,X,r,T,sigma,NRepl1)</w:t>
      </w:r>
    </w:p>
    <w:p w14:paraId="6202129D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randn(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'seed'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,0);</w:t>
      </w:r>
    </w:p>
    <w:p w14:paraId="04910241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[MC200000,CI200000] = BlsMC(S0,X,r,T,sigma,NRepl2)</w:t>
      </w:r>
    </w:p>
    <w:p w14:paraId="205450E4" w14:textId="77777777" w:rsidR="00A37E68" w:rsidRDefault="00A37E68" w:rsidP="00A37E68">
      <w:r>
        <w:t>&gt;&gt; CompBlsMc</w:t>
      </w:r>
    </w:p>
    <w:p w14:paraId="5DB0054E" w14:textId="77777777" w:rsidR="00A37E68" w:rsidRDefault="00A37E68" w:rsidP="00A37E68"/>
    <w:p w14:paraId="44C8704E" w14:textId="77777777" w:rsidR="00A37E68" w:rsidRDefault="00A37E68" w:rsidP="00A37E68">
      <w:r>
        <w:t>MC1000 =</w:t>
      </w:r>
    </w:p>
    <w:p w14:paraId="58893A8C" w14:textId="77777777" w:rsidR="00A37E68" w:rsidRDefault="00A37E68" w:rsidP="00A37E68"/>
    <w:p w14:paraId="65E3177E" w14:textId="1318EECE" w:rsidR="00A37E68" w:rsidRDefault="00A37E68" w:rsidP="00A37E68">
      <w:r>
        <w:t xml:space="preserve">    5.0897</w:t>
      </w:r>
    </w:p>
    <w:p w14:paraId="7CB52B32" w14:textId="71BEF8A3" w:rsidR="00A37E68" w:rsidRDefault="00A37E68" w:rsidP="00A37E68">
      <w:r>
        <w:t>CI1000 =</w:t>
      </w:r>
    </w:p>
    <w:p w14:paraId="4D470769" w14:textId="77777777" w:rsidR="00A37E68" w:rsidRDefault="00A37E68" w:rsidP="00A37E68">
      <w:r>
        <w:t xml:space="preserve">    5.0496</w:t>
      </w:r>
    </w:p>
    <w:p w14:paraId="1A3146CF" w14:textId="3E8E064A" w:rsidR="00A37E68" w:rsidRDefault="00A37E68" w:rsidP="00A37E68">
      <w:r>
        <w:t xml:space="preserve">    5.1297</w:t>
      </w:r>
    </w:p>
    <w:p w14:paraId="25DE482E" w14:textId="69941A39" w:rsidR="00A37E68" w:rsidRDefault="00A37E68" w:rsidP="00A37E68">
      <w:r>
        <w:t>MC200000 =</w:t>
      </w:r>
    </w:p>
    <w:p w14:paraId="5B83DF0E" w14:textId="77777777" w:rsidR="00A37E68" w:rsidRDefault="00A37E68" w:rsidP="00A37E68">
      <w:r>
        <w:t xml:space="preserve">    5.0722</w:t>
      </w:r>
    </w:p>
    <w:p w14:paraId="6D110DD3" w14:textId="77777777" w:rsidR="00A37E68" w:rsidRDefault="00A37E68" w:rsidP="00A37E68"/>
    <w:p w14:paraId="424C4D84" w14:textId="77777777" w:rsidR="00A37E68" w:rsidRDefault="00A37E68" w:rsidP="00A37E68"/>
    <w:p w14:paraId="221501C9" w14:textId="46556FB0" w:rsidR="00A37E68" w:rsidRDefault="00A37E68" w:rsidP="00A37E68">
      <w:r>
        <w:t>CI200000 =</w:t>
      </w:r>
    </w:p>
    <w:p w14:paraId="1AF238CA" w14:textId="77777777" w:rsidR="00A37E68" w:rsidRDefault="00A37E68" w:rsidP="00A37E68">
      <w:r>
        <w:t xml:space="preserve">    5.0439</w:t>
      </w:r>
    </w:p>
    <w:p w14:paraId="59795CC5" w14:textId="77777777" w:rsidR="00A37E68" w:rsidRDefault="00A37E68" w:rsidP="00A37E68">
      <w:r>
        <w:t xml:space="preserve">    5.1004</w:t>
      </w:r>
    </w:p>
    <w:p w14:paraId="1FE8E508" w14:textId="77777777" w:rsidR="00A37E68" w:rsidRDefault="00A37E68" w:rsidP="00A37E68"/>
    <w:p w14:paraId="5464D6E0" w14:textId="56AA911F" w:rsidR="00D2684F" w:rsidRDefault="00D2684F" w:rsidP="00A37E68"/>
    <w:p w14:paraId="688E3876" w14:textId="3318FDC8" w:rsidR="00A37E68" w:rsidRDefault="00A37E68" w:rsidP="00A37E68"/>
    <w:p w14:paraId="60CC9F3F" w14:textId="25061991" w:rsidR="00A37E68" w:rsidRDefault="00A37E68" w:rsidP="00A37E68"/>
    <w:p w14:paraId="760F95CE" w14:textId="4EF300A3" w:rsidR="00A37E68" w:rsidRDefault="00A37E68" w:rsidP="00A37E68"/>
    <w:p w14:paraId="250CB2A0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lastRenderedPageBreak/>
        <w:t>% BlsMCAV.m</w:t>
      </w:r>
    </w:p>
    <w:p w14:paraId="732D6144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[Price, CI] = BlsMCAV(S0,X,r,T,sigma,NRepl)</w:t>
      </w:r>
    </w:p>
    <w:p w14:paraId="2EF95B70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nuT = (r - 0.5*sigma^2)*T;</w:t>
      </w:r>
    </w:p>
    <w:p w14:paraId="2F359EF2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siT = sigma * sqrt(T);</w:t>
      </w:r>
    </w:p>
    <w:p w14:paraId="371F79CA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Veps = randn(NRepl,1);</w:t>
      </w:r>
    </w:p>
    <w:p w14:paraId="4D9005FC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94278F4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Payoff1 = max( 0 , X-S0*exp(nuT+siT*Veps) );</w:t>
      </w:r>
    </w:p>
    <w:p w14:paraId="7626EB66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Payoff2 = max( 0 , X-S0*exp(nuT+siT*(-Veps)) );</w:t>
      </w:r>
    </w:p>
    <w:p w14:paraId="4E21A230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DiscPayoff = exp(-r*T) * 0.5 * (Payoff1+Payoff2);</w:t>
      </w:r>
    </w:p>
    <w:p w14:paraId="7B57E845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[Price, VarPrice, CI] = normfit(DiscPayoff);</w:t>
      </w:r>
    </w:p>
    <w:p w14:paraId="7676A14A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40168866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4B2F92F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CompBlsMCAV.m Compare blsprice and BlsMc200000 and BlsMCAV100000</w:t>
      </w:r>
    </w:p>
    <w:p w14:paraId="310E3832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 </w:t>
      </w:r>
    </w:p>
    <w:p w14:paraId="098EB1E1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S0=50;</w:t>
      </w:r>
    </w:p>
    <w:p w14:paraId="424AC4CD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X=52;</w:t>
      </w:r>
    </w:p>
    <w:p w14:paraId="496CD1ED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r=0.1;</w:t>
      </w:r>
    </w:p>
    <w:p w14:paraId="6EBE48B0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T=5/12;</w:t>
      </w:r>
    </w:p>
    <w:p w14:paraId="14F76EBE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sigma=0.4;</w:t>
      </w:r>
    </w:p>
    <w:p w14:paraId="73602A97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NRepl1=100000;</w:t>
      </w:r>
    </w:p>
    <w:p w14:paraId="4B4ECC34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NRepl2=200000;</w:t>
      </w:r>
    </w:p>
    <w:p w14:paraId="28FCCFB8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Bls=blsprice(S0,X,r,T,sigma);</w:t>
      </w:r>
    </w:p>
    <w:p w14:paraId="05B97DBF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randn(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'seed'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,0);</w:t>
      </w:r>
    </w:p>
    <w:p w14:paraId="3819A8D5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[MC200000, CI1] = BlsMC(S0,X,r,T,sigma,NRepl2);</w:t>
      </w:r>
    </w:p>
    <w:p w14:paraId="4B6EBFCE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randn(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'seed'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,0);</w:t>
      </w:r>
    </w:p>
    <w:p w14:paraId="72C1262A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[MCAV100000, CI2] = BlsMCAV(S0,X,r,T,sigma,NRepl1);</w:t>
      </w:r>
    </w:p>
    <w:p w14:paraId="76E1FB69" w14:textId="77777777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BAC5CFF" w14:textId="77777777" w:rsidR="00A37E68" w:rsidRP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37E68">
        <w:rPr>
          <w:rFonts w:ascii="Courier New" w:hAnsi="Courier New" w:cs="Courier New"/>
          <w:kern w:val="0"/>
          <w:szCs w:val="24"/>
        </w:rPr>
        <w:t>MC200000 =</w:t>
      </w:r>
    </w:p>
    <w:p w14:paraId="6E785031" w14:textId="77777777" w:rsidR="00A37E68" w:rsidRP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32AB205" w14:textId="0A2EFD32" w:rsidR="00A37E68" w:rsidRP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37E68">
        <w:rPr>
          <w:rFonts w:ascii="Courier New" w:hAnsi="Courier New" w:cs="Courier New"/>
          <w:kern w:val="0"/>
          <w:szCs w:val="24"/>
        </w:rPr>
        <w:t xml:space="preserve">    5.0722</w:t>
      </w:r>
    </w:p>
    <w:p w14:paraId="27FC3B1E" w14:textId="77777777" w:rsidR="00A37E68" w:rsidRP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37E68">
        <w:rPr>
          <w:rFonts w:ascii="Courier New" w:hAnsi="Courier New" w:cs="Courier New"/>
          <w:kern w:val="0"/>
          <w:szCs w:val="24"/>
        </w:rPr>
        <w:t>CI1 =</w:t>
      </w:r>
    </w:p>
    <w:p w14:paraId="1274A473" w14:textId="77777777" w:rsidR="00A37E68" w:rsidRP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FD58C3F" w14:textId="77777777" w:rsidR="00A37E68" w:rsidRP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37E68">
        <w:rPr>
          <w:rFonts w:ascii="Courier New" w:hAnsi="Courier New" w:cs="Courier New"/>
          <w:kern w:val="0"/>
          <w:szCs w:val="24"/>
        </w:rPr>
        <w:t xml:space="preserve">    5.0439</w:t>
      </w:r>
    </w:p>
    <w:p w14:paraId="5E7216C4" w14:textId="77777777" w:rsidR="00A37E68" w:rsidRP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37E68">
        <w:rPr>
          <w:rFonts w:ascii="Courier New" w:hAnsi="Courier New" w:cs="Courier New"/>
          <w:kern w:val="0"/>
          <w:szCs w:val="24"/>
        </w:rPr>
        <w:t xml:space="preserve">    5.1004</w:t>
      </w:r>
    </w:p>
    <w:p w14:paraId="4178920B" w14:textId="77777777" w:rsidR="00A37E68" w:rsidRP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37E68">
        <w:rPr>
          <w:rFonts w:ascii="Courier New" w:hAnsi="Courier New" w:cs="Courier New"/>
          <w:kern w:val="0"/>
          <w:szCs w:val="24"/>
        </w:rPr>
        <w:t>MCAV100000 =</w:t>
      </w:r>
    </w:p>
    <w:p w14:paraId="498790F4" w14:textId="77777777" w:rsidR="00A37E68" w:rsidRP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0D0BC20" w14:textId="77777777" w:rsidR="00A37E68" w:rsidRP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37E68">
        <w:rPr>
          <w:rFonts w:ascii="Courier New" w:hAnsi="Courier New" w:cs="Courier New"/>
          <w:kern w:val="0"/>
          <w:szCs w:val="24"/>
        </w:rPr>
        <w:t xml:space="preserve">    5.0699</w:t>
      </w:r>
    </w:p>
    <w:p w14:paraId="5BE0DC76" w14:textId="77777777" w:rsidR="00A37E68" w:rsidRP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37E68">
        <w:rPr>
          <w:rFonts w:ascii="Courier New" w:hAnsi="Courier New" w:cs="Courier New"/>
          <w:kern w:val="0"/>
          <w:szCs w:val="24"/>
        </w:rPr>
        <w:t>CI2 =</w:t>
      </w:r>
    </w:p>
    <w:p w14:paraId="5C768C3B" w14:textId="77777777" w:rsidR="00A37E68" w:rsidRP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4AEEACD1" w14:textId="77777777" w:rsidR="00A37E68" w:rsidRP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37E68">
        <w:rPr>
          <w:rFonts w:ascii="Courier New" w:hAnsi="Courier New" w:cs="Courier New"/>
          <w:kern w:val="0"/>
          <w:szCs w:val="24"/>
        </w:rPr>
        <w:t xml:space="preserve">    5.0523</w:t>
      </w:r>
    </w:p>
    <w:p w14:paraId="4168B1A8" w14:textId="77777777" w:rsidR="00A37E68" w:rsidRP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37E68">
        <w:rPr>
          <w:rFonts w:ascii="Courier New" w:hAnsi="Courier New" w:cs="Courier New"/>
          <w:kern w:val="0"/>
          <w:szCs w:val="24"/>
        </w:rPr>
        <w:t xml:space="preserve">    5.0875</w:t>
      </w:r>
    </w:p>
    <w:p w14:paraId="5676E98C" w14:textId="66E1BEC6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D609655" w14:textId="7D742400" w:rsidR="00A37E68" w:rsidRDefault="00A37E68" w:rsidP="00A37E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B6C5058" w14:textId="77777777" w:rsidR="00A37E68" w:rsidRPr="00A37E68" w:rsidRDefault="00A37E68" w:rsidP="00A37E68"/>
    <w:sectPr w:rsidR="00A37E68" w:rsidRPr="00A37E68" w:rsidSect="000118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87240" w14:textId="77777777" w:rsidR="00743105" w:rsidRDefault="00743105" w:rsidP="00636BB1">
      <w:r>
        <w:separator/>
      </w:r>
    </w:p>
  </w:endnote>
  <w:endnote w:type="continuationSeparator" w:id="0">
    <w:p w14:paraId="17E48E94" w14:textId="77777777" w:rsidR="00743105" w:rsidRDefault="00743105" w:rsidP="00636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33C8C" w14:textId="77777777" w:rsidR="00743105" w:rsidRDefault="00743105" w:rsidP="00636BB1">
      <w:r>
        <w:separator/>
      </w:r>
    </w:p>
  </w:footnote>
  <w:footnote w:type="continuationSeparator" w:id="0">
    <w:p w14:paraId="29ADDD97" w14:textId="77777777" w:rsidR="00743105" w:rsidRDefault="00743105" w:rsidP="00636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68"/>
    <w:rsid w:val="000019B7"/>
    <w:rsid w:val="001B5391"/>
    <w:rsid w:val="002832E9"/>
    <w:rsid w:val="003B5F8E"/>
    <w:rsid w:val="00636BB1"/>
    <w:rsid w:val="00743105"/>
    <w:rsid w:val="00A37E68"/>
    <w:rsid w:val="00D2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4A651"/>
  <w15:chartTrackingRefBased/>
  <w15:docId w15:val="{1B2A5FA5-C2B8-49A3-A1D9-DA3DA072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B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6B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6B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6B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林</dc:creator>
  <cp:keywords/>
  <dc:description/>
  <cp:lastModifiedBy>雅琪 林</cp:lastModifiedBy>
  <cp:revision>4</cp:revision>
  <dcterms:created xsi:type="dcterms:W3CDTF">2021-06-24T12:13:00Z</dcterms:created>
  <dcterms:modified xsi:type="dcterms:W3CDTF">2021-06-24T13:22:00Z</dcterms:modified>
</cp:coreProperties>
</file>