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717260CC" w:rsidR="00002FAF" w:rsidRDefault="00B645EA" w:rsidP="00002FAF">
      <w:pPr>
        <w:pStyle w:val="Title"/>
        <w:framePr w:w="0" w:hSpace="0" w:vSpace="0" w:wrap="auto" w:vAnchor="margin" w:hAnchor="text" w:xAlign="left" w:yAlign="inline"/>
      </w:pPr>
      <w:r w:rsidRPr="00B645EA">
        <w:rPr>
          <w:b/>
          <w:bCs/>
        </w:rPr>
        <w:t xml:space="preserve">IoT-Based Smart </w:t>
      </w:r>
      <w:r>
        <w:rPr>
          <w:b/>
          <w:bCs/>
        </w:rPr>
        <w:t xml:space="preserve">Power </w:t>
      </w:r>
      <w:r w:rsidRPr="00B645EA">
        <w:rPr>
          <w:b/>
          <w:bCs/>
        </w:rPr>
        <w:t>Monitoring System with Real-Time Energy Management and Cost Optimization</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2EAFB179" w:rsidR="00732E46" w:rsidRDefault="00762C82" w:rsidP="00D050EC">
      <w:pPr>
        <w:pBdr>
          <w:top w:val="nil"/>
          <w:left w:val="nil"/>
          <w:bottom w:val="nil"/>
          <w:right w:val="nil"/>
          <w:between w:val="nil"/>
        </w:pBdr>
        <w:jc w:val="center"/>
        <w:rPr>
          <w:color w:val="000000"/>
          <w:sz w:val="22"/>
          <w:szCs w:val="22"/>
        </w:rPr>
      </w:pPr>
      <w:bookmarkStart w:id="0" w:name="_heading=h.gjdgxs" w:colFirst="0" w:colLast="0"/>
      <w:bookmarkEnd w:id="0"/>
      <w:r w:rsidRPr="00762C82">
        <w:rPr>
          <w:color w:val="000000"/>
          <w:sz w:val="22"/>
          <w:szCs w:val="22"/>
        </w:rPr>
        <w:t>M. R. I. Shadhin</w:t>
      </w:r>
      <w:r w:rsidRPr="00762C82">
        <w:rPr>
          <w:color w:val="000000"/>
          <w:sz w:val="22"/>
          <w:szCs w:val="22"/>
          <w:vertAlign w:val="superscript"/>
        </w:rPr>
        <w:t>1</w:t>
      </w:r>
      <w:r w:rsidRPr="00762C82">
        <w:rPr>
          <w:color w:val="000000"/>
          <w:sz w:val="22"/>
          <w:szCs w:val="22"/>
        </w:rPr>
        <w:t>, A. Osmani</w:t>
      </w:r>
      <w:r w:rsidRPr="00762C82">
        <w:rPr>
          <w:color w:val="000000"/>
          <w:sz w:val="22"/>
          <w:szCs w:val="22"/>
          <w:vertAlign w:val="superscript"/>
        </w:rPr>
        <w:t>1</w:t>
      </w:r>
      <w:r w:rsidRPr="00762C82">
        <w:rPr>
          <w:color w:val="000000"/>
          <w:sz w:val="22"/>
          <w:szCs w:val="22"/>
        </w:rPr>
        <w:t>, M. M. Nasif</w:t>
      </w:r>
      <w:r>
        <w:rPr>
          <w:color w:val="000000"/>
          <w:sz w:val="22"/>
          <w:szCs w:val="22"/>
        </w:rPr>
        <w:t xml:space="preserve"> </w:t>
      </w:r>
      <w:r w:rsidRPr="00762C82">
        <w:rPr>
          <w:color w:val="000000"/>
          <w:sz w:val="22"/>
          <w:szCs w:val="22"/>
          <w:vertAlign w:val="superscript"/>
        </w:rPr>
        <w:t>1</w:t>
      </w:r>
      <w:r w:rsidRPr="00762C82">
        <w:rPr>
          <w:color w:val="000000"/>
          <w:sz w:val="22"/>
          <w:szCs w:val="22"/>
        </w:rPr>
        <w:t>, S. S. Eshita</w:t>
      </w:r>
      <w:r w:rsidRPr="00762C82">
        <w:rPr>
          <w:color w:val="000000"/>
          <w:sz w:val="22"/>
          <w:szCs w:val="22"/>
          <w:vertAlign w:val="superscript"/>
        </w:rPr>
        <w:t>1</w:t>
      </w:r>
      <w:r w:rsidRPr="00762C82">
        <w:rPr>
          <w:color w:val="000000"/>
          <w:sz w:val="22"/>
          <w:szCs w:val="22"/>
        </w:rPr>
        <w:t>, and U. U. Nasiba</w:t>
      </w:r>
      <w:r w:rsidRPr="00762C82">
        <w:rPr>
          <w:color w:val="000000"/>
          <w:sz w:val="22"/>
          <w:szCs w:val="22"/>
          <w:vertAlign w:val="superscript"/>
        </w:rPr>
        <w:t>1</w:t>
      </w:r>
    </w:p>
    <w:p w14:paraId="66416825" w14:textId="5A9FF55C" w:rsidR="00002FAF" w:rsidRPr="00762C82" w:rsidRDefault="00762C82" w:rsidP="00762C82">
      <w:pPr>
        <w:pBdr>
          <w:top w:val="nil"/>
          <w:left w:val="nil"/>
          <w:bottom w:val="nil"/>
          <w:right w:val="nil"/>
          <w:between w:val="nil"/>
        </w:pBdr>
        <w:spacing w:after="320"/>
        <w:ind w:firstLine="202"/>
        <w:jc w:val="center"/>
        <w:rPr>
          <w:bCs/>
          <w:iCs/>
          <w:color w:val="000000"/>
          <w:sz w:val="18"/>
          <w:szCs w:val="18"/>
        </w:rPr>
      </w:pPr>
      <w:r w:rsidRPr="00762C82">
        <w:rPr>
          <w:bCs/>
          <w:iCs/>
          <w:color w:val="000000"/>
          <w:sz w:val="22"/>
          <w:szCs w:val="22"/>
          <w:vertAlign w:val="superscript"/>
        </w:rPr>
        <w:t>1</w:t>
      </w:r>
      <w:r w:rsidRPr="00762C82">
        <w:rPr>
          <w:bCs/>
          <w:iCs/>
          <w:color w:val="000000"/>
          <w:sz w:val="22"/>
          <w:szCs w:val="22"/>
        </w:rPr>
        <w:t xml:space="preserve"> Dept., CSE, AIUB, Dhaka, Bangladesh</w:t>
      </w: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56A4B9E5"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sz w:val="18"/>
          <w:szCs w:val="18"/>
        </w:rPr>
        <w:t>This document provides a guide</w:t>
      </w:r>
      <w:r>
        <w:rPr>
          <w:b/>
          <w:color w:val="000000"/>
          <w:sz w:val="18"/>
          <w:szCs w:val="18"/>
        </w:rPr>
        <w:t xml:space="preserve"> for preparing </w:t>
      </w:r>
      <w:r>
        <w:rPr>
          <w:b/>
          <w:sz w:val="18"/>
          <w:szCs w:val="18"/>
        </w:rPr>
        <w:t xml:space="preserve">articles </w:t>
      </w:r>
      <w:r>
        <w:rPr>
          <w:b/>
          <w:color w:val="000000"/>
          <w:sz w:val="18"/>
          <w:szCs w:val="18"/>
        </w:rPr>
        <w:t>for IEEE Transactions</w:t>
      </w:r>
      <w:r>
        <w:rPr>
          <w:b/>
          <w:sz w:val="18"/>
          <w:szCs w:val="18"/>
        </w:rPr>
        <w:t>,</w:t>
      </w:r>
      <w:r>
        <w:rPr>
          <w:b/>
          <w:color w:val="000000"/>
          <w:sz w:val="18"/>
          <w:szCs w:val="18"/>
        </w:rPr>
        <w:t xml:space="preserve"> Journals, and Letters</w:t>
      </w:r>
      <w:r>
        <w:rPr>
          <w:b/>
          <w:i/>
          <w:color w:val="000000"/>
          <w:sz w:val="18"/>
          <w:szCs w:val="18"/>
        </w:rPr>
        <w:t>.</w:t>
      </w:r>
      <w:r>
        <w:rPr>
          <w:b/>
          <w:color w:val="000000"/>
          <w:sz w:val="18"/>
          <w:szCs w:val="18"/>
        </w:rPr>
        <w:t xml:space="preserve"> Use this document as a template if you are using Microsoft </w:t>
      </w:r>
      <w:r>
        <w:rPr>
          <w:b/>
          <w:i/>
          <w:color w:val="000000"/>
          <w:sz w:val="18"/>
          <w:szCs w:val="18"/>
        </w:rPr>
        <w:t>Word</w:t>
      </w:r>
      <w:r>
        <w:rPr>
          <w:b/>
          <w:color w:val="000000"/>
          <w:sz w:val="18"/>
          <w:szCs w:val="18"/>
        </w:rPr>
        <w:t xml:space="preserve">. Otherwise, use this as an instruction set. The electronic file of your </w:t>
      </w:r>
      <w:r w:rsidR="00DC758F">
        <w:rPr>
          <w:b/>
          <w:color w:val="000000"/>
          <w:sz w:val="18"/>
          <w:szCs w:val="18"/>
        </w:rPr>
        <w:t>article</w:t>
      </w:r>
      <w:r>
        <w:rPr>
          <w:b/>
          <w:color w:val="000000"/>
          <w:sz w:val="18"/>
          <w:szCs w:val="18"/>
        </w:rPr>
        <w:t xml:space="preserve"> will be formatted further at IEEE. </w:t>
      </w:r>
      <w:r w:rsidR="00DC758F">
        <w:rPr>
          <w:b/>
          <w:color w:val="000000"/>
          <w:sz w:val="18"/>
          <w:szCs w:val="18"/>
        </w:rPr>
        <w:t>Titles</w:t>
      </w:r>
      <w:r>
        <w:rPr>
          <w:b/>
          <w:color w:val="000000"/>
          <w:sz w:val="18"/>
          <w:szCs w:val="18"/>
        </w:rPr>
        <w:t xml:space="preserve">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Pr>
          <w:b/>
          <w:sz w:val="18"/>
          <w:szCs w:val="18"/>
        </w:rPr>
        <w:t xml:space="preserve">all variables should appear lightface italic; numbers and units will remain bold. Abstracts must be a single paragraph. In order for an Abstract to be effective when displayed in IEEE </w:t>
      </w:r>
      <w:r>
        <w:rPr>
          <w:b/>
          <w:i/>
          <w:sz w:val="18"/>
          <w:szCs w:val="18"/>
        </w:rPr>
        <w:t xml:space="preserve">Xplore </w:t>
      </w:r>
      <w:r>
        <w:rPr>
          <w:b/>
          <w:sz w:val="18"/>
          <w:szCs w:val="18"/>
        </w:rPr>
        <w:t xml:space="preserve">as well as through indexing services such as </w:t>
      </w:r>
      <w:proofErr w:type="spellStart"/>
      <w:r>
        <w:rPr>
          <w:b/>
          <w:sz w:val="18"/>
          <w:szCs w:val="18"/>
        </w:rPr>
        <w:t>Compendex</w:t>
      </w:r>
      <w:proofErr w:type="spellEnd"/>
      <w:r>
        <w:rPr>
          <w:b/>
          <w:sz w:val="18"/>
          <w:szCs w:val="18"/>
        </w:rPr>
        <w:t>, INSPEC, Medline, ProQuest, and Web of Science, it must be an accurate, stand-alone reflection of the contents of the article. They shall not contain displayed mathematical equations, numbered reference citations, nor footnotes. They</w:t>
      </w:r>
      <w:r>
        <w:rPr>
          <w:b/>
          <w:color w:val="000000"/>
          <w:sz w:val="18"/>
          <w:szCs w:val="18"/>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B643D01" w14:textId="77777777" w:rsidR="00732E46" w:rsidRDefault="00732E46"/>
    <w:p w14:paraId="4B5FE2A0" w14:textId="35FC6568" w:rsidR="005C18AE" w:rsidRPr="00D050EC" w:rsidRDefault="000F2C11" w:rsidP="00D050EC">
      <w:pPr>
        <w:jc w:val="both"/>
        <w:rPr>
          <w:b/>
          <w:sz w:val="18"/>
          <w:szCs w:val="18"/>
        </w:rPr>
      </w:pPr>
      <w:bookmarkStart w:id="1" w:name="bookmark=id.30j0zll" w:colFirst="0" w:colLast="0"/>
      <w:bookmarkEnd w:id="1"/>
      <w:r>
        <w:rPr>
          <w:b/>
          <w:i/>
          <w:sz w:val="18"/>
          <w:szCs w:val="18"/>
        </w:rPr>
        <w:t>Index Terms</w:t>
      </w:r>
      <w:r>
        <w:rPr>
          <w:b/>
          <w:sz w:val="18"/>
          <w:szCs w:val="18"/>
        </w:rPr>
        <w:t>—Enter keywords or phrases in alphabetical order, separated by commas.</w:t>
      </w:r>
      <w:r w:rsidRPr="000D4F4C">
        <w:rPr>
          <w:b/>
          <w:sz w:val="18"/>
          <w:szCs w:val="18"/>
        </w:rPr>
        <w:t xml:space="preserve"> </w:t>
      </w:r>
      <w:r w:rsidR="002947C5" w:rsidRPr="00D050EC">
        <w:rPr>
          <w:b/>
          <w:sz w:val="18"/>
          <w:szCs w:val="18"/>
          <w:shd w:val="clear" w:color="auto" w:fill="FFFFFF"/>
        </w:rPr>
        <w:t>Using the </w:t>
      </w:r>
      <w:r w:rsidR="002947C5" w:rsidRPr="00D050EC">
        <w:rPr>
          <w:rStyle w:val="Emphasis"/>
          <w:b/>
          <w:color w:val="000000"/>
          <w:sz w:val="18"/>
          <w:szCs w:val="18"/>
          <w:shd w:val="clear" w:color="auto" w:fill="FFFFFF"/>
        </w:rPr>
        <w:t>IEEE Thesaurus</w:t>
      </w:r>
      <w:r w:rsidR="002947C5" w:rsidRPr="00D050EC">
        <w:rPr>
          <w:b/>
          <w:sz w:val="18"/>
          <w:szCs w:val="18"/>
          <w:shd w:val="clear" w:color="auto" w:fill="FFFFFF"/>
        </w:rPr>
        <w:t> can help you find the best standardized keywords to fit your article. Use the</w:t>
      </w:r>
      <w:r w:rsidR="00BE4774">
        <w:rPr>
          <w:b/>
          <w:sz w:val="18"/>
          <w:szCs w:val="18"/>
          <w:shd w:val="clear" w:color="auto" w:fill="FFFFFF"/>
        </w:rPr>
        <w:t xml:space="preserve"> </w:t>
      </w:r>
      <w:r w:rsidR="00BE4774" w:rsidRPr="00D050EC">
        <w:rPr>
          <w:b/>
          <w:sz w:val="18"/>
          <w:szCs w:val="18"/>
        </w:rPr>
        <w:t>thesaurus access request form</w:t>
      </w:r>
      <w:r w:rsidR="002947C5" w:rsidRPr="00D050EC">
        <w:rPr>
          <w:b/>
          <w:sz w:val="18"/>
          <w:szCs w:val="18"/>
          <w:shd w:val="clear" w:color="auto" w:fill="FFFFFF"/>
        </w:rPr>
        <w:t> for free access to the </w:t>
      </w:r>
      <w:r w:rsidR="002947C5" w:rsidRPr="00D050EC">
        <w:rPr>
          <w:rStyle w:val="Emphasis"/>
          <w:b/>
          <w:color w:val="000000"/>
          <w:sz w:val="18"/>
          <w:szCs w:val="18"/>
          <w:shd w:val="clear" w:color="auto" w:fill="FFFFFF"/>
        </w:rPr>
        <w:t xml:space="preserve">IEEE </w:t>
      </w:r>
      <w:r w:rsidR="002947C5" w:rsidRPr="00D050EC">
        <w:rPr>
          <w:rStyle w:val="Emphasis"/>
          <w:b/>
          <w:color w:val="000000"/>
          <w:sz w:val="18"/>
          <w:szCs w:val="18"/>
          <w:shd w:val="clear" w:color="auto" w:fill="FFFFFF"/>
        </w:rPr>
        <w:t>Thesaurus</w:t>
      </w:r>
      <w:r w:rsidR="00D10AC8">
        <w:rPr>
          <w:rStyle w:val="Emphasis"/>
          <w:b/>
          <w:color w:val="000000"/>
          <w:sz w:val="18"/>
          <w:szCs w:val="18"/>
          <w:shd w:val="clear" w:color="auto" w:fill="FFFFFF"/>
        </w:rPr>
        <w:t xml:space="preserve"> </w:t>
      </w:r>
      <w:r w:rsidR="00D10AC8">
        <w:rPr>
          <w:rFonts w:ascii="Georgia" w:hAnsi="Georgia"/>
          <w:color w:val="222222"/>
          <w:shd w:val="clear" w:color="auto" w:fill="FFFFFF"/>
        </w:rPr>
        <w:t> </w:t>
      </w:r>
      <w:hyperlink r:id="rId10" w:tgtFrame="_blank" w:history="1">
        <w:r w:rsidR="00D10AC8" w:rsidRPr="00D10AC8">
          <w:rPr>
            <w:color w:val="1155CC"/>
            <w:spacing w:val="-2"/>
            <w:u w:val="single"/>
          </w:rPr>
          <w:t>https://www.ieee.org/publications/services/thesaurus.html</w:t>
        </w:r>
      </w:hyperlink>
      <w:r w:rsidR="002947C5" w:rsidRPr="00D10AC8">
        <w:rPr>
          <w:color w:val="1155CC"/>
          <w:spacing w:val="-2"/>
          <w:u w:val="single"/>
        </w:rPr>
        <w:t>.</w:t>
      </w:r>
      <w:r w:rsidR="002947C5" w:rsidRPr="00D050EC">
        <w:rPr>
          <w:b/>
          <w:sz w:val="18"/>
          <w:szCs w:val="18"/>
          <w:shd w:val="clear" w:color="auto" w:fill="FFFFFF"/>
        </w:rPr>
        <w:t> </w:t>
      </w:r>
    </w:p>
    <w:p w14:paraId="5D351EFE" w14:textId="7DC59E19" w:rsidR="00732E46" w:rsidRDefault="00732E46" w:rsidP="004063A4">
      <w:pPr>
        <w:pBdr>
          <w:top w:val="nil"/>
          <w:left w:val="nil"/>
          <w:bottom w:val="nil"/>
          <w:right w:val="nil"/>
          <w:between w:val="nil"/>
        </w:pBdr>
        <w:ind w:firstLine="202"/>
        <w:jc w:val="both"/>
      </w:pP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2F5D5FE8" w:rsidR="00A853F3" w:rsidRDefault="000F2C11" w:rsidP="00A853F3">
      <w:pPr>
        <w:widowControl w:val="0"/>
        <w:pBdr>
          <w:top w:val="nil"/>
          <w:left w:val="nil"/>
          <w:bottom w:val="nil"/>
          <w:right w:val="nil"/>
          <w:between w:val="nil"/>
        </w:pBdr>
        <w:spacing w:line="252" w:lineRule="auto"/>
        <w:jc w:val="both"/>
      </w:pPr>
      <w:r>
        <w:rPr>
          <w:smallCaps/>
          <w:color w:val="000000"/>
        </w:rPr>
        <w:t>HIS</w:t>
      </w:r>
      <w:r>
        <w:rPr>
          <w:color w:val="000000"/>
        </w:rPr>
        <w:t xml:space="preserve"> document is a template for Microsoft </w:t>
      </w:r>
      <w:r>
        <w:rPr>
          <w:i/>
          <w:color w:val="000000"/>
        </w:rPr>
        <w:t>Word</w:t>
      </w:r>
      <w:r>
        <w:rPr>
          <w:color w:val="000000"/>
        </w:rPr>
        <w:t xml:space="preserve">. If you would prefer to use LaTeX, download IEEE’s LaTeX style and sample </w:t>
      </w:r>
      <w:r w:rsidRPr="001B0334">
        <w:t>files</w:t>
      </w:r>
      <w:r w:rsidR="001B0334" w:rsidRPr="001B0334">
        <w:t xml:space="preserve"> from</w:t>
      </w:r>
      <w:r>
        <w:rPr>
          <w:color w:val="000000"/>
        </w:rPr>
        <w:t xml:space="preserve"> </w:t>
      </w:r>
      <w:hyperlink r:id="rId11" w:history="1">
        <w:r w:rsidR="001B0334" w:rsidRPr="00771AA2">
          <w:rPr>
            <w:rStyle w:val="Hyperlink"/>
          </w:rPr>
          <w:t>https://template-selector.ieee.org/secure/templateSelector/publicationType</w:t>
        </w:r>
        <w:r w:rsidRPr="00771AA2">
          <w:rPr>
            <w:rStyle w:val="Hyperlink"/>
          </w:rPr>
          <w:t>.</w:t>
        </w:r>
      </w:hyperlink>
      <w:r>
        <w:rPr>
          <w:color w:val="000000"/>
        </w:rPr>
        <w:t xml:space="preserve"> You can also </w:t>
      </w:r>
      <w:r>
        <w:t>use</w:t>
      </w:r>
      <w:r>
        <w:rPr>
          <w:color w:val="000000"/>
        </w:rPr>
        <w:t xml:space="preserve"> the Overleaf editor at </w:t>
      </w:r>
      <w:hyperlink r:id="rId12">
        <w:r>
          <w:rPr>
            <w:color w:val="0000FF"/>
            <w:u w:val="single"/>
          </w:rPr>
          <w:t>https://www.overleaf.com/blog/278-how-to-use-overleaf-with-ieee-collabratec-your-quick-guide-to-getting-started#.</w:t>
        </w:r>
      </w:hyperlink>
      <w:hyperlink r:id="rId13">
        <w:r>
          <w:rPr>
            <w:color w:val="0000FF"/>
            <w:u w:val="single"/>
          </w:rPr>
          <w:t>Vp6tpPkrK</w:t>
        </w:r>
      </w:hyperlink>
      <w:hyperlink r:id="rId14">
        <w:r>
          <w:rPr>
            <w:color w:val="0000FF"/>
            <w:u w:val="single"/>
          </w:rPr>
          <w:t>M9</w:t>
        </w:r>
      </w:hyperlink>
      <w:r>
        <w:t>.</w:t>
      </w:r>
    </w:p>
    <w:p w14:paraId="403F8F0D" w14:textId="5DD0E452" w:rsidR="00A853F3" w:rsidRDefault="000F2C11" w:rsidP="00A853F3">
      <w:pPr>
        <w:widowControl w:val="0"/>
        <w:pBdr>
          <w:top w:val="nil"/>
          <w:left w:val="nil"/>
          <w:bottom w:val="nil"/>
          <w:right w:val="nil"/>
          <w:between w:val="nil"/>
        </w:pBdr>
        <w:spacing w:line="252" w:lineRule="auto"/>
        <w:ind w:firstLine="270"/>
        <w:jc w:val="both"/>
      </w:pPr>
      <w:r>
        <w:t>This template is a guide to formatting; your proof and final published version may vary in layout and length to conform to IEEE policy and style.</w:t>
      </w:r>
      <w:r w:rsidR="00DC758F">
        <w:t xml:space="preserve"> </w:t>
      </w:r>
      <w:r w:rsidR="00DC758F" w:rsidRPr="00DC758F">
        <w:t>Page count is an estimate</w:t>
      </w:r>
      <w:r w:rsidR="00DC758F">
        <w:t xml:space="preserve">; the length of </w:t>
      </w:r>
      <w:r w:rsidR="00DC758F" w:rsidRPr="00DC758F">
        <w:t xml:space="preserve">your submitted </w:t>
      </w:r>
      <w:r w:rsidR="00DC758F">
        <w:t>article</w:t>
      </w:r>
      <w:r w:rsidR="00DC758F" w:rsidRPr="00DC758F">
        <w:t xml:space="preserve"> in the template may not be the same as when the formal </w:t>
      </w:r>
      <w:r w:rsidR="00DC758F">
        <w:t>proof</w:t>
      </w:r>
      <w:r w:rsidR="00DC758F" w:rsidRPr="00DC758F">
        <w:t xml:space="preserve"> is created by IEEE</w:t>
      </w:r>
    </w:p>
    <w:p w14:paraId="48CB75CA" w14:textId="574CAADA" w:rsidR="00732E46" w:rsidRPr="00A65256" w:rsidRDefault="000F2C11" w:rsidP="00A65256">
      <w:pPr>
        <w:widowControl w:val="0"/>
        <w:pBdr>
          <w:top w:val="nil"/>
          <w:left w:val="nil"/>
          <w:bottom w:val="nil"/>
          <w:right w:val="nil"/>
          <w:between w:val="nil"/>
        </w:pBdr>
        <w:spacing w:line="252" w:lineRule="auto"/>
        <w:ind w:firstLine="270"/>
        <w:jc w:val="both"/>
        <w:rPr>
          <w:spacing w:val="-2"/>
        </w:rPr>
      </w:pPr>
      <w:r w:rsidRPr="00A65256">
        <w:rPr>
          <w:spacing w:val="-2"/>
        </w:rPr>
        <w:t xml:space="preserve">The </w:t>
      </w:r>
      <w:r w:rsidRPr="00A65256">
        <w:rPr>
          <w:i/>
          <w:iCs/>
          <w:spacing w:val="-2"/>
        </w:rPr>
        <w:t xml:space="preserve">IEEE Editorial Style Manual </w:t>
      </w:r>
      <w:r w:rsidR="00A853F3" w:rsidRPr="00A65256">
        <w:rPr>
          <w:i/>
          <w:iCs/>
          <w:spacing w:val="-2"/>
        </w:rPr>
        <w:t>f</w:t>
      </w:r>
      <w:r w:rsidRPr="00A65256">
        <w:rPr>
          <w:i/>
          <w:iCs/>
          <w:spacing w:val="-2"/>
        </w:rPr>
        <w:t>or Authors</w:t>
      </w:r>
      <w:r w:rsidRPr="00A65256">
        <w:rPr>
          <w:spacing w:val="-2"/>
        </w:rPr>
        <w:t xml:space="preserve"> is available at </w:t>
      </w:r>
      <w:hyperlink r:id="rId15">
        <w:r w:rsidRPr="00A65256">
          <w:rPr>
            <w:color w:val="1155CC"/>
            <w:spacing w:val="-2"/>
            <w:u w:val="single"/>
          </w:rPr>
          <w:t>https://journals.ieeeauthorcenter.ieee.org/create-your-ieee-journal-article/create-the-text-of-your-article/ieee-editorial-style-manual/</w:t>
        </w:r>
      </w:hyperlink>
      <w:r w:rsidRPr="00A65256">
        <w:rPr>
          <w:color w:val="1155CC"/>
          <w:spacing w:val="-2"/>
          <w:sz w:val="19"/>
          <w:szCs w:val="19"/>
          <w:highlight w:val="white"/>
          <w:u w:val="single"/>
        </w:rPr>
        <w:t>.</w:t>
      </w:r>
      <w:r w:rsidRPr="00A65256">
        <w:rPr>
          <w:spacing w:val="-2"/>
        </w:rPr>
        <w:t xml:space="preserve"> This contains a formal set of editorial guidelines for IEEE Transactions, Journals, and Letters, including:</w:t>
      </w:r>
    </w:p>
    <w:p w14:paraId="5448429C" w14:textId="77777777" w:rsidR="00A853F3" w:rsidRPr="00A853F3" w:rsidRDefault="00A853F3" w:rsidP="00A65256">
      <w:pPr>
        <w:widowControl w:val="0"/>
        <w:pBdr>
          <w:top w:val="nil"/>
          <w:left w:val="nil"/>
          <w:bottom w:val="nil"/>
          <w:right w:val="nil"/>
          <w:between w:val="nil"/>
        </w:pBdr>
        <w:spacing w:before="80" w:line="252" w:lineRule="auto"/>
        <w:ind w:firstLine="180"/>
        <w:rPr>
          <w:u w:val="double"/>
        </w:rPr>
      </w:pPr>
    </w:p>
    <w:p w14:paraId="40729C54" w14:textId="77777777" w:rsidR="00732E46" w:rsidRDefault="000F2C11">
      <w:pPr>
        <w:widowControl w:val="0"/>
        <w:numPr>
          <w:ilvl w:val="0"/>
          <w:numId w:val="2"/>
        </w:numPr>
        <w:spacing w:line="252" w:lineRule="auto"/>
        <w:jc w:val="both"/>
      </w:pPr>
      <w:r>
        <w:t>punctuation;</w:t>
      </w:r>
    </w:p>
    <w:p w14:paraId="07E41A1C" w14:textId="77777777" w:rsidR="00732E46" w:rsidRDefault="000F2C11">
      <w:pPr>
        <w:widowControl w:val="0"/>
        <w:numPr>
          <w:ilvl w:val="0"/>
          <w:numId w:val="2"/>
        </w:numPr>
        <w:spacing w:line="252" w:lineRule="auto"/>
        <w:jc w:val="both"/>
      </w:pPr>
      <w:r>
        <w:t>capitalization;</w:t>
      </w:r>
    </w:p>
    <w:p w14:paraId="54CA649C" w14:textId="77777777" w:rsidR="00732E46" w:rsidRDefault="000F2C11">
      <w:pPr>
        <w:widowControl w:val="0"/>
        <w:numPr>
          <w:ilvl w:val="0"/>
          <w:numId w:val="2"/>
        </w:numPr>
        <w:spacing w:line="252" w:lineRule="auto"/>
        <w:jc w:val="both"/>
      </w:pPr>
      <w:r>
        <w:t>abbreviations;</w:t>
      </w:r>
    </w:p>
    <w:p w14:paraId="7382969A" w14:textId="77777777" w:rsidR="00732E46" w:rsidRDefault="000F2C11">
      <w:pPr>
        <w:widowControl w:val="0"/>
        <w:numPr>
          <w:ilvl w:val="0"/>
          <w:numId w:val="2"/>
        </w:numPr>
        <w:spacing w:line="252" w:lineRule="auto"/>
        <w:jc w:val="both"/>
      </w:pPr>
      <w:r>
        <w:t>section headings;</w:t>
      </w:r>
    </w:p>
    <w:p w14:paraId="73D87B4B" w14:textId="77777777" w:rsidR="00732E46" w:rsidRDefault="000F2C11">
      <w:pPr>
        <w:widowControl w:val="0"/>
        <w:numPr>
          <w:ilvl w:val="0"/>
          <w:numId w:val="2"/>
        </w:numPr>
        <w:spacing w:line="252" w:lineRule="auto"/>
        <w:jc w:val="both"/>
      </w:pPr>
      <w:r>
        <w:t>numbers, equations;</w:t>
      </w:r>
    </w:p>
    <w:p w14:paraId="52FED512" w14:textId="77777777" w:rsidR="00732E46" w:rsidRDefault="000F2C11">
      <w:pPr>
        <w:widowControl w:val="0"/>
        <w:numPr>
          <w:ilvl w:val="0"/>
          <w:numId w:val="2"/>
        </w:numPr>
        <w:spacing w:line="252" w:lineRule="auto"/>
        <w:jc w:val="both"/>
      </w:pPr>
      <w:r>
        <w:t>footnotes;</w:t>
      </w:r>
    </w:p>
    <w:p w14:paraId="1540F1E0" w14:textId="77777777" w:rsidR="00732E46" w:rsidRDefault="000F2C11">
      <w:pPr>
        <w:widowControl w:val="0"/>
        <w:numPr>
          <w:ilvl w:val="0"/>
          <w:numId w:val="2"/>
        </w:numPr>
        <w:spacing w:line="252" w:lineRule="auto"/>
        <w:jc w:val="both"/>
      </w:pPr>
      <w:r>
        <w:t>biographies;</w:t>
      </w:r>
    </w:p>
    <w:p w14:paraId="778BEC26" w14:textId="77777777" w:rsidR="00732E46" w:rsidRDefault="000F2C11">
      <w:pPr>
        <w:widowControl w:val="0"/>
        <w:numPr>
          <w:ilvl w:val="0"/>
          <w:numId w:val="2"/>
        </w:numPr>
        <w:spacing w:line="252" w:lineRule="auto"/>
        <w:jc w:val="both"/>
      </w:pPr>
      <w:r>
        <w:t>some common mistakes;</w:t>
      </w:r>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A65256">
      <w:pPr>
        <w:widowControl w:val="0"/>
        <w:spacing w:before="40" w:line="252" w:lineRule="auto"/>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The use of an editing service is paid for by the author. It does not guarantee acceptance in an IEEE publication. For more information, visit the IEEE Author Center at </w:t>
      </w:r>
      <w:hyperlink r:id="rId16" w:anchor="editing-service">
        <w:r>
          <w:rPr>
            <w:color w:val="1155CC"/>
            <w:u w:val="single"/>
          </w:rPr>
          <w:t>https://journals.ieeeauthorcenter.ieee.org/create-your-ieee-journal-article/create-the-text-of-your-article/structure-your-article/#editing-service</w:t>
        </w:r>
      </w:hyperlink>
      <w:r>
        <w:rPr>
          <w:color w:val="000000"/>
        </w:rPr>
        <w:t>.</w:t>
      </w:r>
    </w:p>
    <w:p w14:paraId="7B97602F" w14:textId="774C00D9" w:rsidR="00732E46" w:rsidRDefault="00DB3364" w:rsidP="00C7592D">
      <w:pPr>
        <w:pStyle w:val="Heading1"/>
        <w:spacing w:before="250"/>
      </w:pPr>
      <w:r>
        <w:lastRenderedPageBreak/>
        <w:t xml:space="preserve">II. </w:t>
      </w:r>
      <w:r w:rsidR="000F2C11">
        <w:t>Guidelines For Manuscript Preparation</w:t>
      </w:r>
    </w:p>
    <w:p w14:paraId="0C169AB7" w14:textId="25E573D4" w:rsidR="00A853F3" w:rsidRDefault="000F2C11" w:rsidP="00A853F3">
      <w:pPr>
        <w:widowControl w:val="0"/>
        <w:pBdr>
          <w:top w:val="nil"/>
          <w:left w:val="nil"/>
          <w:bottom w:val="nil"/>
          <w:right w:val="nil"/>
          <w:between w:val="nil"/>
        </w:pBdr>
        <w:spacing w:line="252" w:lineRule="auto"/>
        <w:ind w:firstLine="202"/>
        <w:jc w:val="both"/>
      </w:pPr>
      <w:r>
        <w:rPr>
          <w:color w:val="000000"/>
        </w:rPr>
        <w:t xml:space="preserve">When you open </w:t>
      </w:r>
      <w:r w:rsidR="00A41540">
        <w:rPr>
          <w:color w:val="000000"/>
        </w:rPr>
        <w:t>the template</w:t>
      </w:r>
      <w:r>
        <w:rPr>
          <w:color w:val="000000"/>
        </w:rPr>
        <w:t xml:space="preserve">, select “Page Layout” from the “View” menu in the menu bar (View | Page Layout), (these instructions assume </w:t>
      </w:r>
      <w:r>
        <w:t xml:space="preserve">Microsoft </w:t>
      </w:r>
      <w:r>
        <w:rPr>
          <w:i/>
        </w:rPr>
        <w:t>Word</w:t>
      </w:r>
      <w:r>
        <w:rPr>
          <w:color w:val="000000"/>
        </w:rPr>
        <w:t xml:space="preserve">. Some versions may have </w:t>
      </w:r>
      <w:r w:rsidR="00A853F3">
        <w:rPr>
          <w:noProof/>
        </w:rPr>
        <w:drawing>
          <wp:inline distT="114300" distB="114300" distL="114300" distR="114300" wp14:anchorId="14C5FDEB" wp14:editId="0AAADB32">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29903" cy="1924050"/>
                    </a:xfrm>
                    <a:prstGeom prst="rect">
                      <a:avLst/>
                    </a:prstGeom>
                    <a:ln/>
                  </pic:spPr>
                </pic:pic>
              </a:graphicData>
            </a:graphic>
          </wp:inline>
        </w:drawing>
      </w:r>
      <w:r w:rsidR="00A853F3" w:rsidRPr="00A853F3">
        <w:rPr>
          <w:b/>
        </w:rPr>
        <w:t xml:space="preserve"> </w:t>
      </w:r>
      <w:r w:rsidR="00A853F3">
        <w:rPr>
          <w:b/>
        </w:rPr>
        <w:t>Fig. 1.</w:t>
      </w:r>
      <w:r w:rsidR="00A853F3">
        <w:t xml:space="preserve"> This is a sample of a figure caption.</w:t>
      </w:r>
    </w:p>
    <w:p w14:paraId="47CE4E1D" w14:textId="0ECF7F6E" w:rsidR="00A853F3" w:rsidRDefault="00A853F3" w:rsidP="00A853F3">
      <w:pPr>
        <w:widowControl w:val="0"/>
        <w:pBdr>
          <w:top w:val="nil"/>
          <w:left w:val="nil"/>
          <w:bottom w:val="nil"/>
          <w:right w:val="nil"/>
          <w:between w:val="nil"/>
        </w:pBdr>
        <w:spacing w:line="252" w:lineRule="auto"/>
        <w:ind w:firstLine="202"/>
        <w:jc w:val="both"/>
        <w:rPr>
          <w:color w:val="000000"/>
        </w:rPr>
      </w:pPr>
    </w:p>
    <w:p w14:paraId="7951F41D" w14:textId="360EB70B" w:rsidR="00732E46" w:rsidRPr="00D050EC" w:rsidRDefault="000F2C11" w:rsidP="00A853F3">
      <w:pPr>
        <w:widowControl w:val="0"/>
        <w:pBdr>
          <w:top w:val="nil"/>
          <w:left w:val="nil"/>
          <w:bottom w:val="nil"/>
          <w:right w:val="nil"/>
          <w:between w:val="nil"/>
        </w:pBdr>
        <w:spacing w:line="252" w:lineRule="auto"/>
        <w:jc w:val="both"/>
        <w:rPr>
          <w:color w:val="000000"/>
          <w:spacing w:val="-2"/>
        </w:rPr>
      </w:pPr>
      <w:r w:rsidRPr="00D050EC">
        <w:rPr>
          <w:color w:val="000000"/>
          <w:spacing w:val="-2"/>
        </w:rPr>
        <w:t xml:space="preserve">alternate ways to access the same functionalities noted here). Then, type over sections of </w:t>
      </w:r>
      <w:r w:rsidR="00660F88" w:rsidRPr="00D050EC">
        <w:rPr>
          <w:color w:val="000000"/>
          <w:spacing w:val="-2"/>
        </w:rPr>
        <w:t>the template</w:t>
      </w:r>
      <w:r w:rsidRPr="00D050EC">
        <w:rPr>
          <w:color w:val="000000"/>
          <w:spacing w:val="-2"/>
        </w:rPr>
        <w:t xml:space="preserve"> or cut and paste from another document and use markup styles. The pull-down</w:t>
      </w:r>
      <w:r w:rsidR="00A853F3" w:rsidRPr="00D050EC">
        <w:rPr>
          <w:color w:val="000000"/>
          <w:spacing w:val="-2"/>
        </w:rPr>
        <w:t xml:space="preserve"> </w:t>
      </w:r>
      <w:r w:rsidRPr="00D050EC">
        <w:rPr>
          <w:color w:val="000000"/>
          <w:spacing w:val="-2"/>
        </w:rPr>
        <w:t xml:space="preserve">style menu is </w:t>
      </w:r>
      <w:r w:rsidRPr="00D050EC">
        <w:rPr>
          <w:spacing w:val="-2"/>
        </w:rPr>
        <w:t>in</w:t>
      </w:r>
      <w:r w:rsidRPr="00D050EC">
        <w:rPr>
          <w:color w:val="000000"/>
          <w:spacing w:val="-2"/>
        </w:rPr>
        <w:t xml:space="preserve"> the Formatting Toolbar at the top of your </w:t>
      </w:r>
      <w:r w:rsidRPr="00D050EC">
        <w:rPr>
          <w:i/>
          <w:color w:val="000000"/>
          <w:spacing w:val="-2"/>
        </w:rPr>
        <w:t>Word</w:t>
      </w:r>
      <w:r w:rsidRPr="00D050EC">
        <w:rPr>
          <w:color w:val="000000"/>
          <w:spacing w:val="-2"/>
        </w:rPr>
        <w:t xml:space="preserve"> window (</w:t>
      </w:r>
      <w:r w:rsidR="00357347" w:rsidRPr="00D050EC">
        <w:rPr>
          <w:color w:val="000000"/>
          <w:spacing w:val="-2"/>
        </w:rPr>
        <w:t>e.g.</w:t>
      </w:r>
      <w:r w:rsidRPr="00D050EC">
        <w:rPr>
          <w:color w:val="000000"/>
          <w:spacing w:val="-2"/>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Pr="00D050EC">
        <w:rPr>
          <w:b/>
          <w:color w:val="000000"/>
          <w:spacing w:val="-2"/>
        </w:rPr>
        <w:t xml:space="preserve"> </w:t>
      </w:r>
      <w:r w:rsidRPr="00D050EC">
        <w:rPr>
          <w:color w:val="000000"/>
          <w:spacing w:val="-2"/>
        </w:rPr>
        <w:t xml:space="preserve">Use </w:t>
      </w:r>
      <w:r w:rsidRPr="00D050EC">
        <w:rPr>
          <w:i/>
          <w:color w:val="000000"/>
          <w:spacing w:val="-2"/>
        </w:rPr>
        <w:t>italics</w:t>
      </w:r>
      <w:r w:rsidRPr="00D050EC">
        <w:rPr>
          <w:color w:val="000000"/>
          <w:spacing w:val="-2"/>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Default="00DB3364" w:rsidP="00DB3364">
      <w:pPr>
        <w:pStyle w:val="Heading2"/>
        <w:numPr>
          <w:ilvl w:val="0"/>
          <w:numId w:val="0"/>
        </w:numPr>
      </w:pPr>
      <w:r>
        <w:t xml:space="preserve">A. </w:t>
      </w:r>
      <w:r w:rsidR="000F2C11">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Default="00DB3364" w:rsidP="00827FB8">
      <w:pPr>
        <w:pStyle w:val="Heading1"/>
      </w:pPr>
      <w:r>
        <w:t xml:space="preserve">III. </w:t>
      </w:r>
      <w:r w:rsidR="000F2C11">
        <w:t>M</w:t>
      </w:r>
      <w:r w:rsidR="000F2C11">
        <w:rPr>
          <w:sz w:val="16"/>
          <w:szCs w:val="16"/>
        </w:rPr>
        <w:t>ATH</w:t>
      </w:r>
    </w:p>
    <w:p w14:paraId="229FC8D4" w14:textId="0A570A5A"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w:t>
      </w:r>
      <w:proofErr w:type="spellStart"/>
      <w:r w:rsidR="00660F88">
        <w:rPr>
          <w:color w:val="000000"/>
          <w:spacing w:val="-4"/>
        </w:rPr>
        <w:t>MathType</w:t>
      </w:r>
      <w:proofErr w:type="spellEnd"/>
      <w:r w:rsidR="00660F88">
        <w:rPr>
          <w:color w:val="000000"/>
          <w:spacing w:val="-4"/>
        </w:rPr>
        <w:t xml:space="preserve"> plugin, </w:t>
      </w:r>
      <w:r>
        <w:rPr>
          <w:color w:val="000000"/>
          <w:spacing w:val="-4"/>
        </w:rPr>
        <w:t>which can be obtained</w:t>
      </w:r>
      <w:r w:rsidR="00660F88">
        <w:rPr>
          <w:color w:val="000000"/>
          <w:spacing w:val="-4"/>
        </w:rPr>
        <w:t xml:space="preserve"> from </w:t>
      </w:r>
      <w:hyperlink r:id="rId18">
        <w:r w:rsidR="000F2C11" w:rsidRPr="005E2D10">
          <w:rPr>
            <w:color w:val="4472C4" w:themeColor="accent5"/>
            <w:spacing w:val="-4"/>
            <w:u w:val="single"/>
          </w:rPr>
          <w:t>https://store.wiris.com/en/products/mathtype/download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9" w:history="1">
        <w:r w:rsidR="00114406" w:rsidRPr="002B7422">
          <w:rPr>
            <w:rStyle w:val="Hyperlink"/>
          </w:rPr>
          <w:t>http://journals.ieeeauthorcenter.ieee.org/wp-content/uploads/sites/7/Editing-Mathematics.pdf</w:t>
        </w:r>
      </w:hyperlink>
      <w:r w:rsidR="00114406">
        <w:rPr>
          <w:color w:val="000000"/>
        </w:rPr>
        <w:t xml:space="preserve"> and </w:t>
      </w:r>
      <w:r w:rsidR="005E2D10">
        <w:rPr>
          <w:color w:val="000000"/>
        </w:rPr>
        <w:t xml:space="preserve">the </w:t>
      </w:r>
      <w:r w:rsidR="0096199E" w:rsidRPr="0096199E">
        <w:rPr>
          <w:i/>
          <w:iCs/>
          <w:color w:val="000000"/>
        </w:rPr>
        <w:t xml:space="preserve">IEEE </w:t>
      </w:r>
      <w:proofErr w:type="spellStart"/>
      <w:r w:rsidR="0096199E" w:rsidRPr="0096199E">
        <w:rPr>
          <w:i/>
          <w:iCs/>
          <w:color w:val="000000"/>
        </w:rPr>
        <w:t>MathType</w:t>
      </w:r>
      <w:proofErr w:type="spellEnd"/>
      <w:r w:rsidR="0096199E" w:rsidRPr="0096199E">
        <w:rPr>
          <w:i/>
          <w:iCs/>
          <w:color w:val="000000"/>
        </w:rPr>
        <w:t xml:space="preserv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20" w:history="1">
        <w:r w:rsidR="001743EC" w:rsidRPr="00046ECC">
          <w:rPr>
            <w:rStyle w:val="Hyperlink"/>
          </w:rPr>
          <w:t>http://journals.ieeeauthorcenter.ieee.org/wp-content/uploads/sites/7/IEEE-Math-Typesetting-Guide-for-MS-Word-Users.pdf</w:t>
        </w:r>
      </w:hyperlink>
      <w:r>
        <w:rPr>
          <w:color w:val="000000"/>
        </w:rPr>
        <w:t>.</w:t>
      </w:r>
      <w:r w:rsidR="005E2D10">
        <w:rPr>
          <w:color w:val="000000"/>
        </w:rPr>
        <w:t xml:space="preserve"> </w:t>
      </w:r>
    </w:p>
    <w:p w14:paraId="2D2CC03A" w14:textId="77777777" w:rsidR="0096199E" w:rsidRDefault="0096199E" w:rsidP="0096199E">
      <w:pPr>
        <w:widowControl w:val="0"/>
        <w:pBdr>
          <w:top w:val="nil"/>
          <w:left w:val="nil"/>
          <w:bottom w:val="nil"/>
          <w:right w:val="nil"/>
          <w:between w:val="nil"/>
        </w:pBdr>
        <w:spacing w:line="252" w:lineRule="auto"/>
        <w:ind w:firstLine="202"/>
        <w:jc w:val="center"/>
      </w:pPr>
      <w:r>
        <w:t>TABLE I</w:t>
      </w:r>
    </w:p>
    <w:p w14:paraId="28D744EB" w14:textId="77777777" w:rsidR="0096199E" w:rsidRDefault="0096199E" w:rsidP="0096199E">
      <w:pPr>
        <w:widowControl w:val="0"/>
        <w:pBdr>
          <w:top w:val="nil"/>
          <w:left w:val="nil"/>
          <w:bottom w:val="nil"/>
          <w:right w:val="nil"/>
          <w:between w:val="nil"/>
        </w:pBdr>
        <w:spacing w:line="252" w:lineRule="auto"/>
        <w:ind w:firstLine="202"/>
        <w:jc w:val="center"/>
      </w:pPr>
      <w:r w:rsidRPr="00E57D3D">
        <w:rPr>
          <w:smallCaps/>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364A7C84">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67559" cy="942946"/>
                    </a:xfrm>
                    <a:prstGeom prst="rect">
                      <a:avLst/>
                    </a:prstGeom>
                    <a:ln/>
                  </pic:spPr>
                </pic:pic>
              </a:graphicData>
            </a:graphic>
          </wp:inline>
        </w:drawing>
      </w:r>
    </w:p>
    <w:p w14:paraId="7719A9ED" w14:textId="77777777" w:rsidR="0096199E" w:rsidRDefault="0096199E" w:rsidP="00A65256">
      <w:pPr>
        <w:widowControl w:val="0"/>
        <w:pBdr>
          <w:top w:val="nil"/>
          <w:left w:val="nil"/>
          <w:bottom w:val="nil"/>
          <w:right w:val="nil"/>
          <w:between w:val="nil"/>
        </w:pBdr>
        <w:spacing w:before="20" w:line="252" w:lineRule="auto"/>
        <w:ind w:firstLine="202"/>
        <w:jc w:val="both"/>
        <w:rPr>
          <w:color w:val="000000"/>
        </w:rPr>
      </w:pPr>
    </w:p>
    <w:p w14:paraId="66E8346C" w14:textId="4B3B7B66" w:rsidR="00732E46" w:rsidRDefault="00DB3364" w:rsidP="00DB3364">
      <w:pPr>
        <w:pStyle w:val="Heading2"/>
        <w:numPr>
          <w:ilvl w:val="0"/>
          <w:numId w:val="0"/>
        </w:numPr>
      </w:pPr>
      <w:r>
        <w:t xml:space="preserve">A. </w:t>
      </w:r>
      <w:r w:rsidR="000F2C11">
        <w:t>Equations</w:t>
      </w:r>
    </w:p>
    <w:p w14:paraId="752FF10B" w14:textId="712765E8" w:rsidR="00732E46" w:rsidRDefault="000F2C11" w:rsidP="007B62A7">
      <w:pPr>
        <w:widowControl w:val="0"/>
        <w:pBdr>
          <w:top w:val="nil"/>
          <w:left w:val="nil"/>
          <w:bottom w:val="nil"/>
          <w:right w:val="nil"/>
          <w:between w:val="nil"/>
        </w:pBdr>
        <w:spacing w:line="252" w:lineRule="auto"/>
        <w:ind w:firstLine="202"/>
        <w:jc w:val="both"/>
      </w:pPr>
      <w:r w:rsidRPr="007B62A7">
        <w:rPr>
          <w:color w:val="000000"/>
        </w:rPr>
        <w:t>Number</w:t>
      </w:r>
      <w:r>
        <w:t xml:space="preserve"> equations consecutively with equation numbers in parentheses flush with the right margin of the column, as in (1). First use the equation editor to create the equation. Then </w:t>
      </w:r>
      <w:r w:rsidR="005E2D10">
        <w:t xml:space="preserve">select </w:t>
      </w:r>
      <w:r>
        <w:t xml:space="preserve">the “Equation” markup style. Press the tab key and write the equation </w:t>
      </w:r>
      <w:r w:rsidRPr="00A65256">
        <w:rPr>
          <w:color w:val="000000"/>
        </w:rPr>
        <w:t>number</w:t>
      </w:r>
      <w:r>
        <w:t xml:space="preserve"> in parentheses. To make your equations more compact, you may use the solidus ( /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A65256">
      <w:pPr>
        <w:widowControl w:val="0"/>
        <w:pBdr>
          <w:top w:val="nil"/>
          <w:left w:val="nil"/>
          <w:bottom w:val="nil"/>
          <w:right w:val="nil"/>
          <w:between w:val="nil"/>
        </w:pBdr>
        <w:spacing w:before="20" w:line="252" w:lineRule="auto"/>
        <w:ind w:firstLine="202"/>
        <w:jc w:val="both"/>
        <w:rPr>
          <w:color w:val="000000"/>
        </w:rPr>
      </w:pPr>
    </w:p>
    <w:p w14:paraId="0ACC2F98" w14:textId="19C7688C"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“(1),” not “Eq. (1)” or “equation (1),” except at the beginning of a sentence: “Equation (1) is ... .”</w:t>
      </w:r>
    </w:p>
    <w:p w14:paraId="233DFA19" w14:textId="77777777" w:rsidR="00031B79" w:rsidRDefault="00031B79" w:rsidP="00A65256">
      <w:pPr>
        <w:widowControl w:val="0"/>
        <w:pBdr>
          <w:top w:val="nil"/>
          <w:left w:val="nil"/>
          <w:bottom w:val="nil"/>
          <w:right w:val="nil"/>
          <w:between w:val="nil"/>
        </w:pBdr>
        <w:spacing w:before="20" w:line="252" w:lineRule="auto"/>
        <w:ind w:firstLine="202"/>
        <w:jc w:val="both"/>
        <w:rPr>
          <w:color w:val="000000"/>
        </w:rPr>
      </w:pPr>
    </w:p>
    <w:p w14:paraId="120293A3" w14:textId="6A5811A3" w:rsidR="002947C5" w:rsidRPr="00D050EC" w:rsidRDefault="002947C5" w:rsidP="00D050EC">
      <w:pPr>
        <w:pStyle w:val="Heading2"/>
        <w:numPr>
          <w:ilvl w:val="0"/>
          <w:numId w:val="0"/>
        </w:numPr>
      </w:pPr>
      <w:r w:rsidRPr="00D050EC">
        <w:t>B. Algorithms</w:t>
      </w:r>
    </w:p>
    <w:p w14:paraId="4FA98CB4" w14:textId="19008C93" w:rsidR="002947C5" w:rsidRDefault="002947C5" w:rsidP="00D050EC">
      <w:pPr>
        <w:pStyle w:val="Text"/>
        <w:rPr>
          <w:color w:val="000000"/>
        </w:rPr>
      </w:pPr>
      <w:r>
        <w:t>Algorithms should be numbered and include a short title.</w:t>
      </w:r>
      <w:r w:rsidR="007A2DEB">
        <w:t xml:space="preserve"> </w:t>
      </w:r>
      <w:r>
        <w:t>They are set off from the text with rules above and below the</w:t>
      </w:r>
      <w:r w:rsidR="00B05CCE">
        <w:t xml:space="preserve"> </w:t>
      </w:r>
      <w:r>
        <w:t>title and after the last line.</w:t>
      </w:r>
    </w:p>
    <w:p w14:paraId="43B7010B" w14:textId="6C3D3145" w:rsidR="00621141" w:rsidRDefault="00621141" w:rsidP="00621141">
      <w:pPr>
        <w:pStyle w:val="PARAIndent"/>
        <w:spacing w:before="240"/>
        <w:rPr>
          <w:rFonts w:eastAsia="NimbusRomNo9L-Regu"/>
          <w:lang w:eastAsia="en-IN"/>
        </w:rPr>
      </w:pPr>
      <w:r>
        <w:rPr>
          <w:noProof/>
        </w:rPr>
        <w:drawing>
          <wp:inline distT="0" distB="0" distL="0" distR="0" wp14:anchorId="02982399" wp14:editId="53912E10">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F1C26D4" w14:textId="6629763D" w:rsidR="00732E46" w:rsidRPr="00621141" w:rsidRDefault="00DB3364" w:rsidP="00827FB8">
      <w:pPr>
        <w:pStyle w:val="Heading1"/>
      </w:pPr>
      <w:r w:rsidRPr="00621141">
        <w:t xml:space="preserve">IV. </w:t>
      </w:r>
      <w:r w:rsidR="000F2C11" w:rsidRPr="00621141">
        <w:t xml:space="preserve">Guidelines for Graphics Preparation </w:t>
      </w:r>
      <w:r w:rsidR="000F2C11" w:rsidRPr="00621141">
        <w:br/>
        <w:t>and Submission</w:t>
      </w:r>
    </w:p>
    <w:p w14:paraId="060A7626" w14:textId="029EA85A" w:rsidR="00732E46" w:rsidRDefault="00DB3364" w:rsidP="007E5119">
      <w:pPr>
        <w:pStyle w:val="Heading2"/>
        <w:numPr>
          <w:ilvl w:val="0"/>
          <w:numId w:val="0"/>
        </w:numPr>
        <w:spacing w:before="240"/>
      </w:pPr>
      <w:r>
        <w:t xml:space="preserve">A. </w:t>
      </w:r>
      <w:r w:rsidR="000F2C11">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076B9C40" w14:textId="3AD2E23E" w:rsidR="00732E46" w:rsidRPr="00DB3364" w:rsidRDefault="000F2C11" w:rsidP="00DB3364">
      <w:pPr>
        <w:pStyle w:val="ListParagraph"/>
        <w:numPr>
          <w:ilvl w:val="1"/>
          <w:numId w:val="10"/>
        </w:numPr>
        <w:rPr>
          <w:rFonts w:ascii="Times" w:eastAsia="Times" w:hAnsi="Times" w:cs="Times"/>
          <w:color w:val="000000"/>
        </w:rPr>
      </w:pPr>
      <w:r w:rsidRPr="00DB3364">
        <w:rPr>
          <w:b/>
        </w:rPr>
        <w:t>Color/Grayscale Figures</w:t>
      </w:r>
      <w:r w:rsidR="00DB3364">
        <w:br/>
      </w:r>
      <w:r w:rsidRPr="00DB3364">
        <w:rPr>
          <w:rFonts w:ascii="Times" w:eastAsia="Times" w:hAnsi="Times" w:cs="Times"/>
          <w:color w:val="000000"/>
        </w:rPr>
        <w:t xml:space="preserve">Figures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ListParagraph"/>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r w:rsidRPr="00DB3364">
        <w:rPr>
          <w:rFonts w:ascii="Times" w:eastAsia="Times" w:hAnsi="Times" w:cs="Times"/>
          <w:color w:val="000000"/>
        </w:rPr>
        <w:t>Figures that are composed of only black lines and shapes. These figures should have no shades or half-tones of gray, only black and white.</w:t>
      </w:r>
    </w:p>
    <w:p w14:paraId="6C7A72D5" w14:textId="2581B780" w:rsidR="00732E46" w:rsidRPr="001F512A" w:rsidRDefault="000F2C11" w:rsidP="00DB3364">
      <w:pPr>
        <w:pStyle w:val="ListParagraph"/>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ListParagraph"/>
        <w:ind w:left="450"/>
        <w:rPr>
          <w:rFonts w:ascii="Times" w:eastAsia="Times" w:hAnsi="Times" w:cs="Times"/>
          <w:i/>
          <w:color w:val="000000"/>
        </w:rPr>
      </w:pPr>
    </w:p>
    <w:p w14:paraId="30945116" w14:textId="5B220BB5" w:rsidR="00732E46" w:rsidRPr="00DB3364" w:rsidRDefault="00DB3364" w:rsidP="00DB3364">
      <w:pPr>
        <w:pStyle w:val="Heading2"/>
        <w:numPr>
          <w:ilvl w:val="0"/>
          <w:numId w:val="0"/>
        </w:numPr>
        <w:jc w:val="both"/>
        <w:rPr>
          <w:rFonts w:eastAsia="Cambria"/>
          <w:color w:val="000000"/>
        </w:rPr>
      </w:pPr>
      <w:r w:rsidRPr="00DB3364">
        <w:rPr>
          <w:rFonts w:eastAsia="Cambria"/>
          <w:color w:val="000000"/>
        </w:rPr>
        <w:t xml:space="preserve">B. </w:t>
      </w:r>
      <w:r w:rsidR="000F2C11" w:rsidRPr="00DB3364">
        <w:rPr>
          <w:rFonts w:eastAsia="Cambria"/>
          <w:color w:val="000000"/>
        </w:rPr>
        <w:t xml:space="preserve">Multipart </w:t>
      </w:r>
      <w:r w:rsidR="000F2C11" w:rsidRPr="00DB3364">
        <w:rPr>
          <w:rFonts w:eastAsia="Cambria"/>
        </w:rPr>
        <w:t>F</w:t>
      </w:r>
      <w:r w:rsidR="000F2C11" w:rsidRPr="00DB3364">
        <w:rPr>
          <w:rFonts w:eastAsia="Cambria"/>
          <w:color w:val="000000"/>
        </w:rPr>
        <w:t>igures</w:t>
      </w:r>
    </w:p>
    <w:p w14:paraId="44F78EA3" w14:textId="23209744" w:rsidR="00732E46" w:rsidRPr="00D050EC" w:rsidRDefault="005E2D10">
      <w:pPr>
        <w:ind w:firstLine="144"/>
        <w:jc w:val="both"/>
        <w:rPr>
          <w:rFonts w:ascii="Times" w:eastAsia="Times" w:hAnsi="Times" w:cs="Times"/>
          <w:color w:val="000000"/>
          <w:spacing w:val="-3"/>
        </w:rPr>
      </w:pPr>
      <w:r w:rsidRPr="00D050EC">
        <w:rPr>
          <w:rFonts w:ascii="Times" w:eastAsia="Times" w:hAnsi="Times" w:cs="Times"/>
          <w:color w:val="000000"/>
          <w:spacing w:val="-3"/>
        </w:rPr>
        <w:t>These are f</w:t>
      </w:r>
      <w:r w:rsidR="000F2C11" w:rsidRPr="00D050EC">
        <w:rPr>
          <w:rFonts w:ascii="Times" w:eastAsia="Times" w:hAnsi="Times" w:cs="Times"/>
          <w:color w:val="000000"/>
          <w:spacing w:val="-3"/>
        </w:rPr>
        <w:t>igures compiled of more than one sub-figure presented side-by-side or stacked. If a multipart figure is made up of multiple figure types (one part is line</w:t>
      </w:r>
      <w:r w:rsidR="001E7EDB" w:rsidRPr="00D050EC">
        <w:rPr>
          <w:rFonts w:ascii="Times" w:eastAsia="Times" w:hAnsi="Times" w:cs="Times"/>
          <w:color w:val="000000"/>
          <w:spacing w:val="-3"/>
        </w:rPr>
        <w:t xml:space="preserve"> </w:t>
      </w:r>
      <w:r w:rsidR="000F2C11" w:rsidRPr="00D050EC">
        <w:rPr>
          <w:rFonts w:ascii="Times" w:eastAsia="Times" w:hAnsi="Times" w:cs="Times"/>
          <w:color w:val="000000"/>
          <w:spacing w:val="-3"/>
        </w:rPr>
        <w:t>art, and another is grayscale or color), the figure should meet the stricter guidelines.</w:t>
      </w:r>
    </w:p>
    <w:p w14:paraId="4D21B673" w14:textId="77777777" w:rsidR="00031B79" w:rsidRDefault="00031B79" w:rsidP="00D050EC">
      <w:pPr>
        <w:rPr>
          <w:rFonts w:eastAsia="Times"/>
        </w:rPr>
      </w:pPr>
    </w:p>
    <w:p w14:paraId="6827CE4A" w14:textId="17DB14C9" w:rsidR="00732E46" w:rsidRDefault="00DB3364" w:rsidP="00DB3364">
      <w:pPr>
        <w:pStyle w:val="Heading2"/>
        <w:numPr>
          <w:ilvl w:val="0"/>
          <w:numId w:val="0"/>
        </w:numPr>
        <w:jc w:val="both"/>
      </w:pPr>
      <w:r>
        <w:t xml:space="preserve">C. </w:t>
      </w:r>
      <w:r w:rsidR="000F2C11">
        <w:t>File Formats for Graphics</w:t>
      </w:r>
    </w:p>
    <w:p w14:paraId="5A21ED3C" w14:textId="7414B27A" w:rsidR="00732E46" w:rsidRPr="00D050EC" w:rsidRDefault="000F2C11">
      <w:pPr>
        <w:ind w:firstLine="144"/>
        <w:jc w:val="both"/>
        <w:rPr>
          <w:spacing w:val="-3"/>
        </w:rPr>
      </w:pPr>
      <w:r w:rsidRPr="00D050EC">
        <w:rPr>
          <w:spacing w:val="-3"/>
        </w:rP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rsidRPr="00D050EC">
        <w:rPr>
          <w:spacing w:val="-3"/>
        </w:rPr>
        <w:t>. These programs can</w:t>
      </w:r>
      <w:r w:rsidRPr="00D050EC">
        <w:rPr>
          <w:spacing w:val="-3"/>
        </w:rPr>
        <w:t xml:space="preserve"> </w:t>
      </w:r>
      <w:r w:rsidR="00DB3364" w:rsidRPr="00D050EC">
        <w:rPr>
          <w:spacing w:val="-3"/>
        </w:rPr>
        <w:t>re-</w:t>
      </w:r>
      <w:r w:rsidRPr="00D050EC">
        <w:rPr>
          <w:spacing w:val="-3"/>
        </w:rP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Default="00DB3364" w:rsidP="00DB3364">
      <w:pPr>
        <w:pStyle w:val="Heading2"/>
        <w:numPr>
          <w:ilvl w:val="0"/>
          <w:numId w:val="0"/>
        </w:numPr>
        <w:jc w:val="both"/>
      </w:pPr>
      <w:r>
        <w:t xml:space="preserve">D. </w:t>
      </w:r>
      <w:r w:rsidR="000F2C11">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rsidP="00A65256">
      <w:pPr>
        <w:spacing w:before="20"/>
        <w:ind w:firstLine="144"/>
        <w:jc w:val="both"/>
        <w:rPr>
          <w:rFonts w:ascii="Times" w:eastAsia="Times" w:hAnsi="Times" w:cs="Times"/>
          <w:color w:val="000000"/>
        </w:rPr>
      </w:pPr>
    </w:p>
    <w:p w14:paraId="276C6666" w14:textId="1BA9AADD" w:rsidR="00732E46" w:rsidRDefault="00DB3364" w:rsidP="00DB3364">
      <w:pPr>
        <w:pStyle w:val="Heading2"/>
        <w:numPr>
          <w:ilvl w:val="0"/>
          <w:numId w:val="0"/>
        </w:numPr>
        <w:jc w:val="both"/>
        <w:rPr>
          <w:rFonts w:ascii="Times" w:eastAsia="Times" w:hAnsi="Times" w:cs="Times"/>
          <w:smallCaps/>
          <w:color w:val="000000"/>
        </w:rPr>
      </w:pPr>
      <w:r>
        <w:t xml:space="preserve">E. </w:t>
      </w:r>
      <w:r w:rsidR="000F2C11">
        <w:t>Resolution</w:t>
      </w:r>
      <w:r w:rsidR="000F2C11">
        <w:rPr>
          <w:rFonts w:ascii="Times" w:eastAsia="Times" w:hAnsi="Times" w:cs="Times"/>
          <w:color w:val="000000"/>
        </w:rPr>
        <w:t xml:space="preserve">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345C8FB4" w14:textId="53E98DC7"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F. </w:t>
      </w:r>
      <w:r w:rsidR="000F2C11" w:rsidRPr="00EF6430">
        <w:rPr>
          <w:rFonts w:eastAsia="Cambria"/>
          <w:color w:val="000000"/>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In order to preserve the figures’ integrity across multiple computer platforms, we accept files in the following formats: .EPS/.PDF/.PS. All fonts must be embedded or text converted to outlines in order to achieve the best-quality results.</w:t>
      </w:r>
    </w:p>
    <w:p w14:paraId="04CB3ADC" w14:textId="77777777" w:rsidR="00732E46" w:rsidRDefault="00732E46" w:rsidP="00A65256">
      <w:pPr>
        <w:spacing w:before="20"/>
        <w:ind w:firstLine="144"/>
        <w:jc w:val="both"/>
      </w:pPr>
    </w:p>
    <w:p w14:paraId="039DC15F" w14:textId="58038E84" w:rsidR="00732E46" w:rsidRPr="00EF6430" w:rsidRDefault="00DB3364" w:rsidP="00DB3364">
      <w:pPr>
        <w:pStyle w:val="Heading2"/>
        <w:numPr>
          <w:ilvl w:val="0"/>
          <w:numId w:val="0"/>
        </w:numPr>
        <w:jc w:val="both"/>
        <w:rPr>
          <w:rFonts w:eastAsia="Cambria"/>
          <w:smallCaps/>
          <w:color w:val="000000"/>
        </w:rPr>
      </w:pPr>
      <w:r w:rsidRPr="00EF6430">
        <w:rPr>
          <w:rFonts w:eastAsia="Cambria"/>
          <w:color w:val="000000"/>
        </w:rPr>
        <w:t xml:space="preserve">G. </w:t>
      </w:r>
      <w:r w:rsidR="000F2C11" w:rsidRPr="00EF6430">
        <w:rPr>
          <w:rFonts w:eastAsia="Cambria"/>
          <w:color w:val="000000"/>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Pr="00D050EC" w:rsidRDefault="000F2C11">
      <w:pPr>
        <w:ind w:firstLine="144"/>
        <w:jc w:val="both"/>
        <w:rPr>
          <w:rFonts w:ascii="Times" w:eastAsia="Times" w:hAnsi="Times" w:cs="Times"/>
          <w:color w:val="000000"/>
          <w:spacing w:val="-2"/>
        </w:rPr>
      </w:pPr>
      <w:r w:rsidRPr="00D050EC">
        <w:rPr>
          <w:rFonts w:ascii="Times" w:eastAsia="Times" w:hAnsi="Times" w:cs="Times"/>
          <w:color w:val="000000"/>
          <w:spacing w:val="-2"/>
        </w:rPr>
        <w:t xml:space="preserve">All color figures should be generated in RGB or CMYK color space. Grayscale images should be submitted in </w:t>
      </w:r>
      <w:r w:rsidRPr="00D050EC">
        <w:rPr>
          <w:rFonts w:ascii="Times" w:eastAsia="Times" w:hAnsi="Times" w:cs="Times"/>
          <w:spacing w:val="-2"/>
        </w:rPr>
        <w:t>g</w:t>
      </w:r>
      <w:r w:rsidRPr="00D050EC">
        <w:rPr>
          <w:rFonts w:ascii="Times" w:eastAsia="Times" w:hAnsi="Times" w:cs="Times"/>
          <w:color w:val="000000"/>
          <w:spacing w:val="-2"/>
        </w:rPr>
        <w:t xml:space="preserve">rayscale color space. Line art may be provided in grayscale OR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xml:space="preserve">. Note that “bitmap </w:t>
      </w:r>
      <w:proofErr w:type="spellStart"/>
      <w:r w:rsidRPr="00D050EC">
        <w:rPr>
          <w:rFonts w:ascii="Times" w:eastAsia="Times" w:hAnsi="Times" w:cs="Times"/>
          <w:color w:val="000000"/>
          <w:spacing w:val="-2"/>
        </w:rPr>
        <w:t>colorspace</w:t>
      </w:r>
      <w:proofErr w:type="spellEnd"/>
      <w:r w:rsidRPr="00D050EC">
        <w:rPr>
          <w:rFonts w:ascii="Times" w:eastAsia="Times" w:hAnsi="Times" w:cs="Times"/>
          <w:color w:val="000000"/>
          <w:spacing w:val="-2"/>
        </w:rPr>
        <w:t>” and “bitmap file format” are not the same thing. When bitmap color space is selected, .TIF/.TIFF/.PNG are the recommended file formats.</w:t>
      </w:r>
    </w:p>
    <w:p w14:paraId="7691E2B0" w14:textId="77777777" w:rsidR="001F512A" w:rsidRDefault="001F512A" w:rsidP="002F221E">
      <w:pPr>
        <w:spacing w:before="30"/>
        <w:ind w:firstLine="144"/>
        <w:jc w:val="both"/>
        <w:rPr>
          <w:rFonts w:ascii="Times" w:eastAsia="Times" w:hAnsi="Times" w:cs="Times"/>
          <w:color w:val="000000"/>
        </w:rPr>
      </w:pPr>
    </w:p>
    <w:p w14:paraId="5A5C8F87" w14:textId="68A28CE5" w:rsidR="00732E46" w:rsidRDefault="00DB3364" w:rsidP="00DB3364">
      <w:pPr>
        <w:pStyle w:val="Heading2"/>
        <w:numPr>
          <w:ilvl w:val="0"/>
          <w:numId w:val="0"/>
        </w:numPr>
      </w:pPr>
      <w:r>
        <w:t xml:space="preserve">H. </w:t>
      </w:r>
      <w:r w:rsidR="000F2C11">
        <w:t>Accepted Fonts Within Figures</w:t>
      </w:r>
    </w:p>
    <w:p w14:paraId="2BFB0E7A" w14:textId="77777777" w:rsidR="00732E46" w:rsidRPr="00F33F99" w:rsidRDefault="000F2C11" w:rsidP="00D050EC">
      <w:pPr>
        <w:ind w:firstLine="144"/>
        <w:jc w:val="both"/>
        <w:rPr>
          <w:rFonts w:eastAsia="Times"/>
        </w:rPr>
      </w:pPr>
      <w:r w:rsidRPr="000D4F4C">
        <w:rPr>
          <w:rFonts w:eastAsia="Times"/>
        </w:rPr>
        <w:t xml:space="preserve">When preparing your graphics, IEEE suggests that you </w:t>
      </w:r>
      <w:r w:rsidRPr="008856C3">
        <w:rPr>
          <w:rFonts w:eastAsia="Times"/>
        </w:rPr>
        <w:t>use one</w:t>
      </w:r>
      <w:r w:rsidRPr="00F33F99">
        <w:rPr>
          <w:rFonts w:eastAsia="Times"/>
        </w:rPr>
        <w:t xml:space="preserv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D050EC">
      <w:pPr>
        <w:ind w:firstLine="144"/>
        <w:jc w:val="both"/>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0968E1">
      <w:pPr>
        <w:spacing w:before="20"/>
        <w:ind w:firstLine="144"/>
        <w:jc w:val="both"/>
        <w:rPr>
          <w:rFonts w:ascii="Times" w:eastAsia="Times" w:hAnsi="Times" w:cs="Times"/>
          <w:color w:val="000000"/>
          <w:sz w:val="22"/>
          <w:szCs w:val="22"/>
        </w:rPr>
      </w:pPr>
    </w:p>
    <w:p w14:paraId="09BE84DC" w14:textId="26A3FAFD" w:rsidR="00732E46" w:rsidRDefault="00DB3364" w:rsidP="00DB3364">
      <w:pPr>
        <w:pStyle w:val="Heading2"/>
        <w:numPr>
          <w:ilvl w:val="0"/>
          <w:numId w:val="0"/>
        </w:numPr>
      </w:pPr>
      <w:r>
        <w:t xml:space="preserve">I. </w:t>
      </w:r>
      <w:r w:rsidR="000F2C11">
        <w:t>Using Labels Within Figures</w:t>
      </w:r>
    </w:p>
    <w:p w14:paraId="57E960B8" w14:textId="77777777" w:rsidR="00E653B5" w:rsidRDefault="000F2C11" w:rsidP="00DB3364">
      <w:pPr>
        <w:pStyle w:val="ListParagraph"/>
        <w:numPr>
          <w:ilvl w:val="0"/>
          <w:numId w:val="11"/>
        </w:numPr>
        <w:ind w:left="540"/>
      </w:pPr>
      <w:r w:rsidRPr="00EF6430">
        <w:rPr>
          <w:b/>
        </w:rPr>
        <w:t>Figure Axis Labels</w:t>
      </w:r>
    </w:p>
    <w:p w14:paraId="301C6715" w14:textId="77777777" w:rsidR="007054D1" w:rsidRPr="00F33F99" w:rsidRDefault="000F2C11" w:rsidP="007054D1">
      <w:pPr>
        <w:pStyle w:val="ListParagraph"/>
        <w:numPr>
          <w:ilvl w:val="1"/>
          <w:numId w:val="11"/>
        </w:numPr>
        <w:jc w:val="both"/>
      </w:pPr>
      <w:r w:rsidRPr="000D4F4C">
        <w:rPr>
          <w:color w:val="000000"/>
        </w:rPr>
        <w:t xml:space="preserve">Figure axis labels are often a source of confusion. Use words rather than symbols. As an example, write the quantity “Magnetization” or “Magnetization </w:t>
      </w:r>
      <w:r w:rsidRPr="008856C3">
        <w:rPr>
          <w:i/>
          <w:color w:val="000000"/>
        </w:rPr>
        <w:t>M</w:t>
      </w:r>
      <w:r w:rsidRPr="008856C3">
        <w:rPr>
          <w:color w:val="000000"/>
        </w:rPr>
        <w:t>,” not just “</w:t>
      </w:r>
      <w:r w:rsidRPr="00F33F99">
        <w:rPr>
          <w:i/>
          <w:color w:val="000000"/>
        </w:rPr>
        <w:t>M</w:t>
      </w:r>
      <w:r w:rsidRPr="00F33F99">
        <w:rPr>
          <w:color w:val="000000"/>
        </w:rPr>
        <w:t xml:space="preserve">.” Put units in parentheses. Do not label axes only with units. </w:t>
      </w:r>
      <w:r w:rsidR="00A6122B" w:rsidRPr="00F33F99">
        <w:rPr>
          <w:color w:val="000000"/>
        </w:rPr>
        <w:t>For</w:t>
      </w:r>
      <w:r w:rsidRPr="00F33F99">
        <w:rPr>
          <w:color w:val="000000"/>
        </w:rPr>
        <w:t xml:space="preserve"> example, write “Magnetization (A/m)” or “Magnetization (A</w:t>
      </w:r>
      <w:r w:rsidR="00E625A7" w:rsidRPr="00D050EC">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25pt;height:6.25pt;mso-width-percent:0;mso-height-percent:0;mso-width-percent:0;mso-height-percent:0" o:ole="" fillcolor="window">
            <v:imagedata r:id="rId23" o:title=""/>
          </v:shape>
          <o:OLEObject Type="Embed" ProgID="Equation.3" ShapeID="_x0000_i1025" DrawAspect="Content" ObjectID="_1829042442" r:id="rId24"/>
        </w:object>
      </w:r>
      <w:r w:rsidRPr="00F33F99">
        <w:rPr>
          <w:color w:val="000000"/>
        </w:rPr>
        <w:t>m</w:t>
      </w:r>
      <w:r w:rsidRPr="00F33F99">
        <w:rPr>
          <w:rFonts w:ascii="Cambria Math" w:eastAsia="Symbol" w:hAnsi="Cambria Math" w:cs="Cambria Math"/>
          <w:color w:val="000000"/>
          <w:vertAlign w:val="superscript"/>
        </w:rPr>
        <w:t>−</w:t>
      </w:r>
      <w:r w:rsidRPr="00F33F99">
        <w:rPr>
          <w:color w:val="000000"/>
          <w:vertAlign w:val="superscript"/>
        </w:rPr>
        <w:t>1</w:t>
      </w:r>
      <w:r w:rsidRPr="00F33F99">
        <w:rPr>
          <w:color w:val="000000"/>
        </w:rPr>
        <w:t>),” not just “A/m.” Do not label axes with a ratio of quantities and units. For example, write “Temperature (K),” not “Temperature/K.”</w:t>
      </w:r>
    </w:p>
    <w:p w14:paraId="6D4A7B0E" w14:textId="0ACE86F7" w:rsidR="00732E46" w:rsidRPr="00D050EC" w:rsidRDefault="000F2C11" w:rsidP="007054D1">
      <w:pPr>
        <w:pStyle w:val="ListParagraph"/>
        <w:numPr>
          <w:ilvl w:val="1"/>
          <w:numId w:val="11"/>
        </w:numPr>
        <w:jc w:val="both"/>
        <w:rPr>
          <w:spacing w:val="-3"/>
        </w:rPr>
      </w:pPr>
      <w:r w:rsidRPr="00D050EC">
        <w:rPr>
          <w:spacing w:val="-3"/>
        </w:rPr>
        <w:t>Multipliers can be especially confusing. Write “Magnetization (kA/m)” or “Magnetization (10</w:t>
      </w:r>
      <w:r w:rsidRPr="00D050EC">
        <w:rPr>
          <w:spacing w:val="-3"/>
          <w:vertAlign w:val="superscript"/>
        </w:rPr>
        <w:t>3</w:t>
      </w:r>
      <w:r w:rsidRPr="00D050EC">
        <w:rPr>
          <w:spacing w:val="-3"/>
        </w:rPr>
        <w:t xml:space="preserve"> A/m).” Do not write “Magnetization (A/m) × 1000” because the reader would not know whether the top axis label </w:t>
      </w:r>
      <w:r w:rsidR="00A6122B" w:rsidRPr="00D050EC">
        <w:rPr>
          <w:spacing w:val="-3"/>
        </w:rPr>
        <w:t>means</w:t>
      </w:r>
      <w:r w:rsidRPr="00D050EC">
        <w:rPr>
          <w:spacing w:val="-3"/>
        </w:rPr>
        <w:t xml:space="preserve"> 16000 A/m or 0.016 A/m. Figure labels should be legible, approximately 8- to 10-point type.</w:t>
      </w:r>
    </w:p>
    <w:p w14:paraId="5D5FC1EB" w14:textId="77777777" w:rsidR="00732E46" w:rsidRDefault="00732E46" w:rsidP="00A65256">
      <w:pPr>
        <w:pStyle w:val="ListParagraph"/>
        <w:spacing w:before="40"/>
        <w:ind w:left="0"/>
        <w:contextualSpacing w:val="0"/>
        <w:jc w:val="both"/>
        <w:rPr>
          <w:rFonts w:ascii="Times" w:eastAsia="Times" w:hAnsi="Times" w:cs="Times"/>
          <w:color w:val="000000"/>
        </w:rPr>
      </w:pPr>
    </w:p>
    <w:p w14:paraId="19090765" w14:textId="77777777" w:rsidR="00E653B5" w:rsidRPr="00E653B5" w:rsidRDefault="000F2C11" w:rsidP="00EF6430">
      <w:pPr>
        <w:pStyle w:val="ListParagraph"/>
        <w:numPr>
          <w:ilvl w:val="0"/>
          <w:numId w:val="11"/>
        </w:numPr>
        <w:ind w:left="540"/>
      </w:pPr>
      <w:r w:rsidRPr="00EF6430">
        <w:rPr>
          <w:b/>
        </w:rPr>
        <w:t>Subfigure Labels in Multipart Figures and Tables</w:t>
      </w:r>
    </w:p>
    <w:p w14:paraId="20C20803" w14:textId="666703C8" w:rsidR="00732E46" w:rsidRDefault="000F2C11" w:rsidP="00E653B5">
      <w:pPr>
        <w:pStyle w:val="ListParagraph"/>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568DB727" w14:textId="678CEB8E" w:rsidR="00732E46" w:rsidRPr="00EF6430" w:rsidRDefault="00EF6430" w:rsidP="007B62A7">
      <w:pPr>
        <w:pStyle w:val="Heading2"/>
        <w:numPr>
          <w:ilvl w:val="0"/>
          <w:numId w:val="0"/>
        </w:numPr>
        <w:rPr>
          <w:rFonts w:eastAsia="Cambria"/>
        </w:rPr>
      </w:pPr>
      <w:r w:rsidRPr="00EF6430">
        <w:rPr>
          <w:rFonts w:eastAsia="Cambria"/>
        </w:rPr>
        <w:t xml:space="preserve">J. </w:t>
      </w:r>
      <w:r w:rsidR="000F2C11" w:rsidRPr="00EF6430">
        <w:rPr>
          <w:rFonts w:eastAsia="Cambria"/>
        </w:rPr>
        <w:t xml:space="preserve">Referencing a Figure or </w:t>
      </w:r>
      <w:r w:rsidR="000F2C11" w:rsidRPr="007B62A7">
        <w:rPr>
          <w:rFonts w:eastAsia="Cambria"/>
        </w:rPr>
        <w:t>Table</w:t>
      </w:r>
      <w:r w:rsidR="000F2C11" w:rsidRPr="00EF6430">
        <w:rPr>
          <w:rFonts w:eastAsia="Cambria"/>
        </w:rPr>
        <w:t xml:space="preserv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57BA5642" w:rsidR="00732E46" w:rsidRDefault="00732E46" w:rsidP="00A65256">
      <w:pPr>
        <w:spacing w:before="40"/>
        <w:jc w:val="both"/>
      </w:pPr>
    </w:p>
    <w:p w14:paraId="1A8F8753" w14:textId="1C6131EF" w:rsidR="00732E46" w:rsidRDefault="00EF6430" w:rsidP="00827FB8">
      <w:pPr>
        <w:pStyle w:val="Heading2"/>
        <w:numPr>
          <w:ilvl w:val="0"/>
          <w:numId w:val="0"/>
        </w:numPr>
        <w:spacing w:before="100"/>
        <w:jc w:val="both"/>
      </w:pPr>
      <w:r>
        <w:t xml:space="preserve">K. </w:t>
      </w:r>
      <w:r w:rsidR="000F2C11">
        <w:t>Submitting Your Graphics</w:t>
      </w:r>
    </w:p>
    <w:p w14:paraId="0F4737FF" w14:textId="77777777" w:rsidR="00732E46" w:rsidRPr="00D050EC" w:rsidRDefault="000F2C11">
      <w:pPr>
        <w:ind w:firstLine="144"/>
        <w:jc w:val="both"/>
        <w:rPr>
          <w:spacing w:val="-2"/>
        </w:rPr>
      </w:pPr>
      <w:r w:rsidRPr="00D050EC">
        <w:rPr>
          <w:spacing w:val="-2"/>
        </w:rP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sidRPr="00D050EC">
        <w:rPr>
          <w:spacing w:val="-2"/>
          <w:highlight w:val="white"/>
        </w:rPr>
        <w:t>e.</w:t>
      </w:r>
      <w:r w:rsidRPr="00D050EC">
        <w:rPr>
          <w:spacing w:val="-2"/>
        </w:rPr>
        <w:t xml:space="preserve"> Place figure captions below the figures; place table headings above the tables. Do not include captions as part of the figures, or put them in “text boxes” linked to the figures. Also, do not place borders around the outside of your figures.</w:t>
      </w:r>
    </w:p>
    <w:p w14:paraId="3A3BF7FF" w14:textId="77E6438C" w:rsidR="00732E46" w:rsidRDefault="00732E46" w:rsidP="00A65256">
      <w:pPr>
        <w:spacing w:before="40"/>
        <w:jc w:val="both"/>
      </w:pPr>
    </w:p>
    <w:p w14:paraId="29A5BA9E" w14:textId="11B1C491" w:rsidR="00732E46" w:rsidRDefault="00EF6430" w:rsidP="00827FB8">
      <w:pPr>
        <w:pStyle w:val="Heading2"/>
        <w:numPr>
          <w:ilvl w:val="0"/>
          <w:numId w:val="0"/>
        </w:numPr>
        <w:spacing w:before="100"/>
        <w:rPr>
          <w:i w:val="0"/>
        </w:rPr>
      </w:pPr>
      <w:r>
        <w:t xml:space="preserve">L. </w:t>
      </w:r>
      <w:r w:rsidR="000F2C11">
        <w:t xml:space="preserve">Color Processing / Printing in IEEE Transactions, Journals, </w:t>
      </w:r>
      <w:r w:rsidR="000F2C11" w:rsidRPr="007B62A7">
        <w:t>and</w:t>
      </w:r>
      <w:r w:rsidR="000F2C11">
        <w:t xml:space="preserve"> Letters</w:t>
      </w:r>
    </w:p>
    <w:p w14:paraId="55F51617" w14:textId="77777777"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 xml:space="preserve">you will have the opportunity to indicate this in the Author Gateway and will be contacted by </w:t>
      </w:r>
      <w:proofErr w:type="spellStart"/>
      <w:r>
        <w:rPr>
          <w:rFonts w:ascii="Times" w:eastAsia="Times" w:hAnsi="Times" w:cs="Times"/>
        </w:rPr>
        <w:t>PubOps</w:t>
      </w:r>
      <w:proofErr w:type="spellEnd"/>
      <w:r>
        <w:rPr>
          <w:rFonts w:ascii="Times" w:eastAsia="Times" w:hAnsi="Times" w:cs="Times"/>
        </w:rPr>
        <w:t xml:space="preserve"> to confirm the charges</w:t>
      </w:r>
      <w:r>
        <w:rPr>
          <w:rFonts w:ascii="Times" w:eastAsia="Times" w:hAnsi="Times" w:cs="Times"/>
          <w:color w:val="000000"/>
        </w:rPr>
        <w:t>.</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64E169CA" w14:textId="77777777" w:rsidR="00C54B70" w:rsidRDefault="000F2C11" w:rsidP="007B62A7">
      <w:pPr>
        <w:ind w:firstLine="144"/>
        <w:jc w:val="both"/>
      </w:pPr>
      <w:r>
        <w:t xml:space="preserve">A conclusion section is not required. Although a conclusion may review the main points of the article, do not </w:t>
      </w:r>
      <w:r w:rsidRPr="007B62A7">
        <w:rPr>
          <w:rFonts w:ascii="Times" w:eastAsia="Times" w:hAnsi="Times" w:cs="Times"/>
          <w:color w:val="000000"/>
        </w:rPr>
        <w:t>replicate</w:t>
      </w:r>
      <w:r>
        <w:t xml:space="preserve"> the abstract as the conclusion. A conclusion might elaborate on the importance of the work or suggest applications and extensions.</w:t>
      </w:r>
    </w:p>
    <w:p w14:paraId="52521F00" w14:textId="77777777" w:rsidR="00732E46" w:rsidRPr="00D050EC" w:rsidRDefault="000F2C11" w:rsidP="00827FB8">
      <w:pPr>
        <w:pStyle w:val="Heading1"/>
      </w:pPr>
      <w:r w:rsidRPr="00D050EC">
        <w:t>Appendix</w:t>
      </w:r>
    </w:p>
    <w:p w14:paraId="337C2468"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74726847" w14:textId="77777777" w:rsidR="00732E46" w:rsidRPr="00F33F99" w:rsidRDefault="000F2C11" w:rsidP="00827FB8">
      <w:pPr>
        <w:pStyle w:val="Heading1"/>
      </w:pPr>
      <w:bookmarkStart w:id="2" w:name="_heading=h.ji51hl1e8dp3" w:colFirst="0" w:colLast="0"/>
      <w:bookmarkEnd w:id="2"/>
      <w:r w:rsidRPr="00F33F99">
        <w:t>References and Footnotes</w:t>
      </w:r>
    </w:p>
    <w:p w14:paraId="6417537E" w14:textId="3B3D54D6" w:rsidR="00732E46" w:rsidRDefault="00EF6430" w:rsidP="00827FB8">
      <w:pPr>
        <w:pStyle w:val="Heading2"/>
        <w:numPr>
          <w:ilvl w:val="0"/>
          <w:numId w:val="0"/>
        </w:numPr>
        <w:tabs>
          <w:tab w:val="left" w:pos="180"/>
        </w:tabs>
        <w:spacing w:before="140"/>
        <w:ind w:left="90"/>
      </w:pPr>
      <w:r>
        <w:t xml:space="preserve">A. </w:t>
      </w:r>
      <w:r w:rsidR="000F2C11">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t>
      </w:r>
      <w:r>
        <w:rPr>
          <w:i/>
          <w:color w:val="000000"/>
        </w:rPr>
        <w:t>Word</w:t>
      </w:r>
      <w:r>
        <w:rPr>
          <w:color w:val="000000"/>
        </w:rPr>
        <w:t>, rather, type the reference list at the end of the paper using the “References” style.</w:t>
      </w:r>
    </w:p>
    <w:p w14:paraId="694358D7" w14:textId="1DB68CD7" w:rsidR="00732E46" w:rsidRPr="00D050EC" w:rsidRDefault="000F2C11">
      <w:pPr>
        <w:widowControl w:val="0"/>
        <w:pBdr>
          <w:top w:val="nil"/>
          <w:left w:val="nil"/>
          <w:bottom w:val="nil"/>
          <w:right w:val="nil"/>
          <w:between w:val="nil"/>
        </w:pBdr>
        <w:spacing w:line="252" w:lineRule="auto"/>
        <w:ind w:firstLine="144"/>
        <w:jc w:val="both"/>
        <w:rPr>
          <w:color w:val="000000"/>
          <w:spacing w:val="-4"/>
        </w:rPr>
      </w:pPr>
      <w:r w:rsidRPr="00D050EC">
        <w:rPr>
          <w:color w:val="000000"/>
          <w:spacing w:val="-4"/>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w:t>
      </w:r>
      <w:r w:rsidRPr="00D050EC">
        <w:rPr>
          <w:i/>
          <w:color w:val="000000"/>
          <w:spacing w:val="-4"/>
        </w:rPr>
        <w:t>et al</w:t>
      </w:r>
      <w:r w:rsidRPr="00D050EC">
        <w:rPr>
          <w:color w:val="000000"/>
          <w:spacing w:val="-4"/>
        </w:rPr>
        <w:t>. only if names are not given or if t</w:t>
      </w:r>
      <w:r w:rsidRPr="00D050EC">
        <w:rPr>
          <w:spacing w:val="-4"/>
        </w:rPr>
        <w:t>here are more than 6 authors</w:t>
      </w:r>
      <w:r w:rsidRPr="00D050EC">
        <w:rPr>
          <w:color w:val="000000"/>
          <w:spacing w:val="-4"/>
        </w:rPr>
        <w:t xml:space="preserve">. Use commas around Jr., Sr., and III in names. Abbreviate conference titles. When citing IEEE </w:t>
      </w:r>
      <w:r w:rsidRPr="00D050EC">
        <w:rPr>
          <w:spacing w:val="-4"/>
        </w:rPr>
        <w:t>T</w:t>
      </w:r>
      <w:r w:rsidRPr="00D050EC">
        <w:rPr>
          <w:color w:val="000000"/>
          <w:spacing w:val="-4"/>
        </w:rPr>
        <w:t xml:space="preserve">ransactions, provide the issue number, page range, volume number, </w:t>
      </w:r>
      <w:r w:rsidRPr="00D050EC">
        <w:rPr>
          <w:spacing w:val="-4"/>
        </w:rPr>
        <w:t xml:space="preserve">month if available, and </w:t>
      </w:r>
      <w:r w:rsidRPr="00D050EC">
        <w:rPr>
          <w:color w:val="000000"/>
          <w:spacing w:val="-4"/>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Pr="00D050EC" w:rsidRDefault="000F2C11">
      <w:pPr>
        <w:widowControl w:val="0"/>
        <w:pBdr>
          <w:top w:val="nil"/>
          <w:left w:val="nil"/>
          <w:bottom w:val="nil"/>
          <w:right w:val="nil"/>
          <w:between w:val="nil"/>
        </w:pBdr>
        <w:spacing w:line="252" w:lineRule="auto"/>
        <w:ind w:firstLine="144"/>
        <w:jc w:val="both"/>
        <w:rPr>
          <w:color w:val="000000"/>
          <w:spacing w:val="-2"/>
        </w:rPr>
      </w:pPr>
      <w:r w:rsidRPr="00D050EC">
        <w:rPr>
          <w:color w:val="000000"/>
          <w:spacing w:val="-2"/>
        </w:rPr>
        <w:t xml:space="preserve">Other than books, capitalize only the first word in </w:t>
      </w:r>
      <w:r w:rsidRPr="00D050EC">
        <w:rPr>
          <w:spacing w:val="-2"/>
        </w:rPr>
        <w:t>an article</w:t>
      </w:r>
      <w:r w:rsidRPr="00D050EC">
        <w:rPr>
          <w:color w:val="000000"/>
          <w:spacing w:val="-2"/>
        </w:rPr>
        <w:t xml:space="preserve"> title, except for proper nouns and element symbols. For </w:t>
      </w:r>
      <w:r w:rsidRPr="00D050EC">
        <w:rPr>
          <w:spacing w:val="-2"/>
        </w:rPr>
        <w:t xml:space="preserve">articles </w:t>
      </w:r>
      <w:r w:rsidRPr="00D050EC">
        <w:rPr>
          <w:color w:val="000000"/>
          <w:spacing w:val="-2"/>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D050EC">
        <w:rPr>
          <w:i/>
          <w:iCs/>
          <w:color w:val="000000"/>
          <w:spacing w:val="-2"/>
        </w:rPr>
        <w:t xml:space="preserve">IEEE Editorial </w:t>
      </w:r>
      <w:r w:rsidRPr="00D050EC">
        <w:rPr>
          <w:i/>
          <w:iCs/>
          <w:spacing w:val="-2"/>
        </w:rPr>
        <w:t>S</w:t>
      </w:r>
      <w:r w:rsidRPr="00D050EC">
        <w:rPr>
          <w:i/>
          <w:iCs/>
          <w:color w:val="000000"/>
          <w:spacing w:val="-2"/>
        </w:rPr>
        <w:t xml:space="preserve">tyle </w:t>
      </w:r>
      <w:r w:rsidRPr="00D050EC">
        <w:rPr>
          <w:i/>
          <w:iCs/>
          <w:spacing w:val="-2"/>
        </w:rPr>
        <w:t>M</w:t>
      </w:r>
      <w:r w:rsidRPr="00D050EC">
        <w:rPr>
          <w:i/>
          <w:iCs/>
          <w:color w:val="000000"/>
          <w:spacing w:val="-2"/>
        </w:rPr>
        <w:t>anual</w:t>
      </w:r>
      <w:r w:rsidRPr="00D050EC">
        <w:rPr>
          <w:color w:val="000000"/>
          <w:spacing w:val="-2"/>
        </w:rPr>
        <w:t xml:space="preserve"> </w:t>
      </w:r>
      <w:r w:rsidR="00A530D2" w:rsidRPr="00D050EC">
        <w:rPr>
          <w:i/>
          <w:iCs/>
          <w:color w:val="000000"/>
          <w:spacing w:val="-2"/>
        </w:rPr>
        <w:t xml:space="preserve">for Authors </w:t>
      </w:r>
      <w:r w:rsidRPr="00D050EC">
        <w:rPr>
          <w:color w:val="000000"/>
          <w:spacing w:val="-2"/>
        </w:rPr>
        <w:t xml:space="preserve">at </w:t>
      </w:r>
      <w:hyperlink r:id="rId25">
        <w:r w:rsidRPr="00D050EC">
          <w:rPr>
            <w:color w:val="1155CC"/>
            <w:spacing w:val="-2"/>
            <w:sz w:val="19"/>
            <w:szCs w:val="19"/>
            <w:highlight w:val="white"/>
            <w:u w:val="single"/>
          </w:rPr>
          <w:t>https://journals.ieeeauthorcenter.ieee.org/create-your-ieee-journal-article/create-the-text-of-your-article/ieee-editorial-style-manual/</w:t>
        </w:r>
      </w:hyperlink>
      <w:r w:rsidRPr="00D050EC">
        <w:rPr>
          <w:color w:val="000000"/>
          <w:spacing w:val="-2"/>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Default="00EF6430" w:rsidP="00EF6430">
      <w:pPr>
        <w:pStyle w:val="Heading2"/>
        <w:numPr>
          <w:ilvl w:val="0"/>
          <w:numId w:val="0"/>
        </w:numPr>
      </w:pPr>
      <w:r>
        <w:t xml:space="preserve">B. </w:t>
      </w:r>
      <w:r w:rsidR="000F2C11">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4CEB8735" w14:textId="21956F37" w:rsidR="00732E46" w:rsidRDefault="000F2C11" w:rsidP="00827FB8">
      <w:pPr>
        <w:pStyle w:val="Heading1"/>
        <w:spacing w:before="220"/>
      </w:pPr>
      <w:r>
        <w:t xml:space="preserve">Submitting Your </w:t>
      </w:r>
      <w:r w:rsidR="00E57D3D" w:rsidRPr="00E57D3D">
        <w:t>Article</w:t>
      </w:r>
      <w:r w:rsidR="00E57D3D">
        <w:t xml:space="preserve"> </w:t>
      </w:r>
      <w:r>
        <w:t>for Review</w:t>
      </w:r>
    </w:p>
    <w:p w14:paraId="02AED5B9" w14:textId="281E4866" w:rsidR="00732E46" w:rsidRDefault="00EF6430" w:rsidP="00EF6430">
      <w:pPr>
        <w:pStyle w:val="Heading2"/>
        <w:numPr>
          <w:ilvl w:val="0"/>
          <w:numId w:val="0"/>
        </w:numPr>
      </w:pPr>
      <w:r>
        <w:t xml:space="preserve">A. </w:t>
      </w:r>
      <w:r w:rsidR="000F2C11">
        <w:t xml:space="preserve">Review Stage Using </w:t>
      </w:r>
      <w:proofErr w:type="spellStart"/>
      <w:r w:rsidR="000F2C11">
        <w:t>ScholarOne</w:t>
      </w:r>
      <w:proofErr w:type="spellEnd"/>
      <w:r w:rsidR="000F2C11">
        <w:t xml:space="preserve"> Manuscripts</w:t>
      </w:r>
    </w:p>
    <w:p w14:paraId="11B24C45" w14:textId="087C76F6" w:rsidR="00732E46" w:rsidRDefault="000F2C11" w:rsidP="007B62A7">
      <w:pPr>
        <w:tabs>
          <w:tab w:val="left" w:pos="360"/>
        </w:tabs>
        <w:ind w:firstLine="144"/>
        <w:jc w:val="both"/>
      </w:pPr>
      <w:r>
        <w:rPr>
          <w:color w:val="000000"/>
        </w:rPr>
        <w:t xml:space="preserve">Contributions to the Transactions, Journals, and Letters may be submitted electronically on IEEE’s online manuscript submission and peer-review system, </w:t>
      </w:r>
      <w:proofErr w:type="spellStart"/>
      <w:r>
        <w:rPr>
          <w:color w:val="000000"/>
        </w:rPr>
        <w:t>ScholarOne</w:t>
      </w:r>
      <w:proofErr w:type="spellEnd"/>
      <w:r>
        <w:rPr>
          <w:color w:val="000000"/>
        </w:rPr>
        <w:t xml:space="preserve"> Manuscripts. You </w:t>
      </w:r>
      <w:r>
        <w:t xml:space="preserve">can get help choosing the correct publication for your manuscript as well as find their corresponding </w:t>
      </w:r>
      <w:proofErr w:type="spellStart"/>
      <w:r>
        <w:t>ScholarOne</w:t>
      </w:r>
      <w:proofErr w:type="spellEnd"/>
      <w:r>
        <w:t xml:space="preserve"> Manuscripts peer review site using the tools listed at</w:t>
      </w:r>
      <w:r w:rsidR="00E57D3D">
        <w:t xml:space="preserve"> </w:t>
      </w:r>
      <w:hyperlink r:id="rId26">
        <w:r>
          <w:rPr>
            <w:color w:val="0000FF"/>
            <w:u w:val="single"/>
          </w:rPr>
          <w:t>http://www.ieee.org/publications_standards/publications/authors/authors_submission.html</w:t>
        </w:r>
      </w:hyperlink>
      <w:r>
        <w:rPr>
          <w:color w:val="000000"/>
        </w:rPr>
        <w:t xml:space="preserve"> </w:t>
      </w:r>
      <w:r>
        <w:t xml:space="preserve">Once you have chosen your publication and navigated to the </w:t>
      </w:r>
      <w:proofErr w:type="spellStart"/>
      <w:r>
        <w:t>ScholarOne</w:t>
      </w:r>
      <w:proofErr w:type="spellEnd"/>
      <w:r>
        <w:t xml:space="preserve"> site, check first to see if you have an existing account. If there is none, please create a new account. After logging in, go to your Author Center and click “Start New Submission.”</w:t>
      </w:r>
    </w:p>
    <w:p w14:paraId="0024B00E" w14:textId="33C269C5" w:rsidR="00732E46" w:rsidRDefault="000F2C11" w:rsidP="00D050EC">
      <w:pPr>
        <w:ind w:firstLine="144"/>
        <w:jc w:val="both"/>
      </w:pPr>
      <w:r>
        <w:t>Along with other information, you will be asked to select the manuscript type from the journal’s pre-determined list of options</w:t>
      </w:r>
      <w:r w:rsidR="00E45781">
        <w:t>.</w:t>
      </w:r>
      <w:r>
        <w:t xml:space="preserve"> Depending on the journal, there are various steps to the submission process; please make sure to carefully answer all of the </w:t>
      </w:r>
      <w:r w:rsidRPr="00D050EC">
        <w:rPr>
          <w:rFonts w:ascii="Times" w:eastAsia="Times" w:hAnsi="Times" w:cs="Times"/>
          <w:color w:val="000000"/>
        </w:rPr>
        <w:t>submission</w:t>
      </w:r>
      <w:r>
        <w: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w:t>
      </w:r>
      <w:proofErr w:type="spellStart"/>
      <w:r>
        <w:t>ScholarOne</w:t>
      </w:r>
      <w:proofErr w:type="spellEnd"/>
      <w:r>
        <w:t xml:space="preserve"> Manuscripts, please contact </w:t>
      </w:r>
      <w:r>
        <w:rPr>
          <w:color w:val="1155CC"/>
        </w:rPr>
        <w:t>oprs-support@ieee.org</w:t>
      </w:r>
      <w:r>
        <w:t xml:space="preserve"> or call +1 732 465 5861.</w:t>
      </w:r>
    </w:p>
    <w:p w14:paraId="1A82A7C6" w14:textId="4460738C" w:rsidR="00732E46" w:rsidRDefault="000F2C11" w:rsidP="00D050EC">
      <w:pPr>
        <w:ind w:firstLine="144"/>
        <w:jc w:val="both"/>
      </w:pPr>
      <w:proofErr w:type="spellStart"/>
      <w:r>
        <w:t>ScholarOne</w:t>
      </w:r>
      <w:proofErr w:type="spellEnd"/>
      <w:r>
        <w:t xml:space="preserve"> Manuscripts will accept files for review in various formats. </w:t>
      </w:r>
      <w:r w:rsidR="0080720F">
        <w:t>T</w:t>
      </w:r>
      <w:r>
        <w:t>here is a “Journal Home</w:t>
      </w:r>
      <w:r w:rsidR="0080720F">
        <w:t>”</w:t>
      </w:r>
      <w:r>
        <w:t xml:space="preserve"> link on the log-in page of each </w:t>
      </w:r>
      <w:proofErr w:type="spellStart"/>
      <w:r>
        <w:t>ScholarOne</w:t>
      </w:r>
      <w:proofErr w:type="spellEnd"/>
      <w:r>
        <w:t xml:space="preserve"> Manuscripts site that will bring you to the journal’s homepage with their detailed requirements; please check these guidelines for your particular journal before you submit.  </w:t>
      </w:r>
    </w:p>
    <w:p w14:paraId="03B9F038" w14:textId="77777777" w:rsidR="001F512A" w:rsidRDefault="001F512A">
      <w:pPr>
        <w:tabs>
          <w:tab w:val="left" w:pos="360"/>
        </w:tabs>
        <w:jc w:val="both"/>
      </w:pPr>
    </w:p>
    <w:p w14:paraId="21CD2FA6" w14:textId="224F6972" w:rsidR="00732E46" w:rsidRDefault="00EF6430" w:rsidP="00EF6430">
      <w:pPr>
        <w:pStyle w:val="Heading2"/>
        <w:numPr>
          <w:ilvl w:val="0"/>
          <w:numId w:val="0"/>
        </w:numPr>
      </w:pPr>
      <w:r>
        <w:t xml:space="preserve">B. </w:t>
      </w:r>
      <w:r w:rsidR="000F2C11">
        <w:t xml:space="preserve">Final Stage Using </w:t>
      </w:r>
      <w:proofErr w:type="spellStart"/>
      <w:r w:rsidR="000F2C11">
        <w:t>ScholarOne</w:t>
      </w:r>
      <w:proofErr w:type="spellEnd"/>
      <w:r w:rsidR="000F2C11">
        <w:t xml:space="preserve"> Manuscripts</w:t>
      </w:r>
    </w:p>
    <w:p w14:paraId="57A9A954" w14:textId="48F21AC0" w:rsidR="00732E46" w:rsidRDefault="000F2C11" w:rsidP="007B62A7">
      <w:pPr>
        <w:ind w:firstLine="144"/>
        <w:jc w:val="both"/>
      </w:pPr>
      <w:r>
        <w:t xml:space="preserve">Upon acceptance, you will receive an email with specific instructions regarding the submission of your final files. To avoid any delays in publication, please be sure to follow these instructions. </w:t>
      </w:r>
      <w:r w:rsidR="0080720F">
        <w:t>Fi</w:t>
      </w:r>
      <w:r>
        <w:t xml:space="preserve">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w:t>
      </w:r>
    </w:p>
    <w:p w14:paraId="22D1D3EF" w14:textId="433D988D" w:rsidR="00732E46" w:rsidRDefault="000F2C11" w:rsidP="00D050EC">
      <w:pPr>
        <w:ind w:firstLine="144"/>
        <w:jc w:val="both"/>
      </w:pPr>
      <w:r>
        <w: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w:t>
      </w:r>
      <w:proofErr w:type="spellStart"/>
      <w:r>
        <w:t>ScholarOne</w:t>
      </w:r>
      <w:proofErr w:type="spellEnd"/>
      <w:r>
        <w:t xml:space="preserve"> Manuscripts you will be automatically redirected to the IEEE electronic copyright form wizard. Please complete the copyright at that time to avoid publication delays. </w:t>
      </w:r>
    </w:p>
    <w:p w14:paraId="5DC46466" w14:textId="618BA0BF" w:rsidR="00732E46" w:rsidRPr="00EC35CE" w:rsidRDefault="00EF6430" w:rsidP="008856C3">
      <w:pPr>
        <w:pStyle w:val="Heading2"/>
        <w:numPr>
          <w:ilvl w:val="0"/>
          <w:numId w:val="0"/>
        </w:numPr>
      </w:pPr>
      <w:r w:rsidRPr="008856C3">
        <w:t xml:space="preserve">C. </w:t>
      </w:r>
      <w:r w:rsidR="000F2C11" w:rsidRPr="008856C3">
        <w:t>Copyright Form</w:t>
      </w:r>
    </w:p>
    <w:p w14:paraId="524C8A86" w14:textId="7794EDF2" w:rsidR="00732E46" w:rsidRPr="006B68F3" w:rsidRDefault="000F2C11">
      <w:pPr>
        <w:widowControl w:val="0"/>
        <w:pBdr>
          <w:top w:val="nil"/>
          <w:left w:val="nil"/>
          <w:bottom w:val="nil"/>
          <w:right w:val="nil"/>
          <w:between w:val="nil"/>
        </w:pBdr>
        <w:spacing w:line="252" w:lineRule="auto"/>
        <w:ind w:firstLine="202"/>
        <w:jc w:val="both"/>
        <w:rPr>
          <w:color w:val="000000"/>
          <w:spacing w:val="-2"/>
        </w:rPr>
      </w:pPr>
      <w:r w:rsidRPr="006B68F3">
        <w:rPr>
          <w:color w:val="222222"/>
          <w:spacing w:val="-2"/>
          <w:highlight w:val="white"/>
        </w:rPr>
        <w:t>Authors must submit an electronic IEEE Copyright Form (</w:t>
      </w:r>
      <w:proofErr w:type="spellStart"/>
      <w:r w:rsidRPr="006B68F3">
        <w:rPr>
          <w:color w:val="222222"/>
          <w:spacing w:val="-2"/>
          <w:highlight w:val="white"/>
        </w:rPr>
        <w:t>eCF</w:t>
      </w:r>
      <w:proofErr w:type="spellEnd"/>
      <w:r w:rsidRPr="006B68F3">
        <w:rPr>
          <w:color w:val="222222"/>
          <w:spacing w:val="-2"/>
          <w:highlight w:val="white"/>
        </w:rPr>
        <w:t xml:space="preserve">) upon submitting their final manuscript files. You can access the </w:t>
      </w:r>
      <w:proofErr w:type="spellStart"/>
      <w:r w:rsidRPr="006B68F3">
        <w:rPr>
          <w:color w:val="222222"/>
          <w:spacing w:val="-2"/>
          <w:highlight w:val="white"/>
        </w:rPr>
        <w:t>eCF</w:t>
      </w:r>
      <w:proofErr w:type="spellEnd"/>
      <w:r w:rsidRPr="006B68F3">
        <w:rPr>
          <w:color w:val="222222"/>
          <w:spacing w:val="-2"/>
          <w:highlight w:val="white"/>
        </w:rPr>
        <w:t xml:space="preserve">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7" w:history="1">
        <w:r w:rsidR="006B68F3" w:rsidRPr="006B68F3">
          <w:rPr>
            <w:rStyle w:val="Hyperlink"/>
            <w:spacing w:val="-2"/>
            <w:highlight w:val="white"/>
          </w:rPr>
          <w:t>https://www.ieee.org/publications/rights/index.html</w:t>
        </w:r>
      </w:hyperlink>
      <w:hyperlink r:id="rId28">
        <w:r w:rsidRPr="006B68F3">
          <w:rPr>
            <w:color w:val="1155CC"/>
            <w:spacing w:val="-2"/>
            <w:highlight w:val="white"/>
            <w:u w:val="single"/>
          </w:rPr>
          <w:t xml:space="preserve"> </w:t>
        </w:r>
      </w:hyperlink>
    </w:p>
    <w:p w14:paraId="5D6B1EFA" w14:textId="77777777" w:rsidR="00732E46" w:rsidRDefault="000F2C11" w:rsidP="00827FB8">
      <w:pPr>
        <w:pStyle w:val="Heading1"/>
      </w:pPr>
      <w:r>
        <w:t>IEEE Guidelines and Policies</w:t>
      </w:r>
    </w:p>
    <w:p w14:paraId="71905707" w14:textId="400CA6B1" w:rsidR="00732E46" w:rsidRDefault="000F2C11" w:rsidP="007B62A7">
      <w:pPr>
        <w:widowControl w:val="0"/>
        <w:pBdr>
          <w:top w:val="nil"/>
          <w:left w:val="nil"/>
          <w:bottom w:val="nil"/>
          <w:right w:val="nil"/>
          <w:between w:val="nil"/>
        </w:pBdr>
        <w:spacing w:line="252" w:lineRule="auto"/>
        <w:ind w:firstLine="202"/>
        <w:jc w:val="both"/>
        <w:rPr>
          <w:color w:val="222222"/>
        </w:rPr>
      </w:pPr>
      <w:r>
        <w:rPr>
          <w:color w:val="222222"/>
          <w:highlight w:val="white"/>
        </w:rPr>
        <w:t xml:space="preserve">A full overview of IEEE publishing guidelines and policies can be found at </w:t>
      </w:r>
      <w:hyperlink r:id="rId29" w:history="1">
        <w:r w:rsidR="006F18B8" w:rsidRPr="006B7414">
          <w:rPr>
            <w:rStyle w:val="Hyperlink"/>
            <w:highlight w:val="white"/>
          </w:rPr>
          <w:t>https://journals.ieeeauthorcenter.ieee.org/</w:t>
        </w:r>
        <w:r w:rsidR="006F18B8" w:rsidRPr="006B7414">
          <w:rPr>
            <w:rStyle w:val="Hyperlink"/>
            <w:highlight w:val="white"/>
          </w:rPr>
          <w:br/>
          <w:t>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48F8D56C" w14:textId="77777777" w:rsidR="00D10AC8" w:rsidRDefault="00D10AC8" w:rsidP="00D10AC8">
      <w:pPr>
        <w:pStyle w:val="Heading1"/>
      </w:pPr>
      <w:r>
        <w:t>Acknowledgment</w:t>
      </w:r>
    </w:p>
    <w:p w14:paraId="40639FDE" w14:textId="52830495" w:rsidR="00D10AC8" w:rsidRDefault="00D10AC8" w:rsidP="007B62A7">
      <w:pPr>
        <w:widowControl w:val="0"/>
        <w:pBdr>
          <w:top w:val="nil"/>
          <w:left w:val="nil"/>
          <w:bottom w:val="nil"/>
          <w:right w:val="nil"/>
          <w:between w:val="nil"/>
        </w:pBdr>
        <w:spacing w:line="252" w:lineRule="auto"/>
        <w:ind w:firstLine="202"/>
        <w:jc w:val="both"/>
        <w:rPr>
          <w:color w:val="000000"/>
        </w:rPr>
      </w:pPr>
      <w:r>
        <w:rPr>
          <w:color w:val="000000"/>
        </w:rPr>
        <w:t>The preferred spelling of the word “acknowledgment” in American English is without an “e” after the “g.” Use the singular heading even if you have many acknowledgments. Avoid expressions such as “One of us (S.B.A.) would like to thank ... .” Instead, write “F. A. Author thanks ... .” In most cases, sponsor and financial support acknowledgments are placed in the unnumbered footnote on the first page, not here.</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pp. xxx-xxx, Abbrev. Month, year,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75C35C47" w14:textId="77777777" w:rsidR="006B68F3" w:rsidRDefault="006B68F3" w:rsidP="00851B4D">
      <w:pPr>
        <w:spacing w:before="40"/>
        <w:rPr>
          <w:rFonts w:ascii="Times" w:eastAsia="Times" w:hAnsi="Times" w:cs="Times"/>
        </w:rPr>
      </w:pP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Abbrev. Month, year, Art. no. </w:t>
      </w:r>
      <w:proofErr w:type="spellStart"/>
      <w:r>
        <w:rPr>
          <w:sz w:val="16"/>
          <w:szCs w:val="16"/>
          <w:highlight w:val="white"/>
        </w:rPr>
        <w:t>xxxxx</w:t>
      </w:r>
      <w:proofErr w:type="spellEnd"/>
      <w:r>
        <w:rPr>
          <w:sz w:val="16"/>
          <w:szCs w:val="16"/>
          <w:highlight w:val="white"/>
        </w:rPr>
        <w:t xml:space="preserve">,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4164A037" w14:textId="77777777" w:rsidR="00732E46" w:rsidRDefault="00732E46" w:rsidP="00851B4D">
      <w:pPr>
        <w:spacing w:before="60"/>
        <w:rPr>
          <w:rFonts w:ascii="Times" w:eastAsia="Times" w:hAnsi="Times" w:cs="Times"/>
        </w:rPr>
      </w:pPr>
    </w:p>
    <w:p w14:paraId="4C6324DD" w14:textId="77777777" w:rsidR="00732E46" w:rsidRDefault="000F2C11">
      <w:pPr>
        <w:rPr>
          <w:i/>
        </w:rPr>
      </w:pPr>
      <w:r>
        <w:rPr>
          <w:i/>
        </w:rPr>
        <w:t>Examples:</w:t>
      </w:r>
    </w:p>
    <w:p w14:paraId="128A05AF" w14:textId="0AF91FFB" w:rsidR="00732E46" w:rsidRPr="00D050EC" w:rsidRDefault="00932FBA" w:rsidP="00D050EC">
      <w:pPr>
        <w:numPr>
          <w:ilvl w:val="0"/>
          <w:numId w:val="1"/>
        </w:numPr>
        <w:ind w:left="270" w:hanging="270"/>
        <w:jc w:val="both"/>
        <w:rPr>
          <w:sz w:val="16"/>
          <w:szCs w:val="16"/>
        </w:rPr>
      </w:pPr>
      <w:r w:rsidRPr="00D050EC">
        <w:rPr>
          <w:sz w:val="16"/>
          <w:szCs w:val="16"/>
        </w:rPr>
        <w:t xml:space="preserve">J. U. Duncombe, “Infrared navigation—Part I: An assessment of feasibility,” </w:t>
      </w:r>
      <w:r w:rsidRPr="00D050EC">
        <w:rPr>
          <w:i/>
          <w:sz w:val="16"/>
          <w:szCs w:val="16"/>
        </w:rPr>
        <w:t>IEEE Trans. Electron Devices</w:t>
      </w:r>
      <w:r w:rsidRPr="00D050EC">
        <w:rPr>
          <w:sz w:val="16"/>
          <w:szCs w:val="16"/>
        </w:rPr>
        <w:t xml:space="preserve">, vol. ED-11, no. 1, pp. 34–39, Jan. 1959, </w:t>
      </w:r>
      <w:proofErr w:type="spellStart"/>
      <w:r w:rsidRPr="00D050EC">
        <w:rPr>
          <w:sz w:val="16"/>
          <w:szCs w:val="16"/>
        </w:rPr>
        <w:t>doi</w:t>
      </w:r>
      <w:proofErr w:type="spellEnd"/>
      <w:r w:rsidRPr="00D050EC">
        <w:rPr>
          <w:sz w:val="16"/>
          <w:szCs w:val="16"/>
        </w:rPr>
        <w:t xml:space="preserve">: </w:t>
      </w:r>
      <w:r w:rsidRPr="00D050EC">
        <w:rPr>
          <w:rFonts w:eastAsia="Times"/>
          <w:sz w:val="16"/>
          <w:szCs w:val="16"/>
        </w:rPr>
        <w:t>10.1109/TED.2016.2628402</w:t>
      </w:r>
      <w:r w:rsidR="000F2C11" w:rsidRPr="00D050EC">
        <w:rPr>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w:t>
      </w:r>
      <w:proofErr w:type="spellStart"/>
      <w:r>
        <w:rPr>
          <w:sz w:val="16"/>
          <w:szCs w:val="16"/>
        </w:rPr>
        <w:t>Kopyt</w:t>
      </w:r>
      <w:proofErr w:type="spellEnd"/>
      <w:r>
        <w:rPr>
          <w:sz w:val="16"/>
          <w:szCs w:val="16"/>
        </w:rPr>
        <w:t xml:space="preserve">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w:t>
      </w:r>
      <w:proofErr w:type="spellStart"/>
      <w:r>
        <w:rPr>
          <w:sz w:val="16"/>
          <w:szCs w:val="16"/>
        </w:rPr>
        <w:t>doi</w:t>
      </w:r>
      <w:proofErr w:type="spellEnd"/>
      <w:r>
        <w:rPr>
          <w:sz w:val="16"/>
          <w:szCs w:val="16"/>
        </w:rPr>
        <w:t xml:space="preserve">: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w:t>
      </w:r>
      <w:proofErr w:type="spellStart"/>
      <w:r>
        <w:rPr>
          <w:sz w:val="16"/>
          <w:szCs w:val="16"/>
        </w:rPr>
        <w:t>Nuesch</w:t>
      </w:r>
      <w:proofErr w:type="spellEnd"/>
      <w:r>
        <w:rPr>
          <w:sz w:val="16"/>
          <w:szCs w:val="16"/>
        </w:rPr>
        <w:t xml:space="preserve">, T. Lippert, and A. </w:t>
      </w:r>
      <w:proofErr w:type="spellStart"/>
      <w:r>
        <w:rPr>
          <w:sz w:val="16"/>
          <w:szCs w:val="16"/>
        </w:rPr>
        <w:t>Wokaun</w:t>
      </w:r>
      <w:proofErr w:type="spellEnd"/>
      <w:r>
        <w:rPr>
          <w:sz w:val="16"/>
          <w:szCs w:val="16"/>
        </w:rPr>
        <w:t xml:space="preserve">,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Comite and N. </w:t>
      </w:r>
      <w:proofErr w:type="spellStart"/>
      <w:r>
        <w:rPr>
          <w:sz w:val="16"/>
          <w:szCs w:val="16"/>
        </w:rPr>
        <w:t>Pierdicca</w:t>
      </w:r>
      <w:proofErr w:type="spellEnd"/>
      <w:r>
        <w:rPr>
          <w:sz w:val="16"/>
          <w:szCs w:val="16"/>
        </w:rPr>
        <w:t xml:space="preserve">, "Decorrelation of the near-specular land scattering in bistatic radar systems,"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xml:space="preserve">, early access, </w:t>
      </w:r>
      <w:proofErr w:type="spellStart"/>
      <w:r>
        <w:rPr>
          <w:sz w:val="16"/>
          <w:szCs w:val="16"/>
        </w:rPr>
        <w:t>doi</w:t>
      </w:r>
      <w:proofErr w:type="spellEnd"/>
      <w:r>
        <w:rPr>
          <w:sz w:val="16"/>
          <w:szCs w:val="16"/>
        </w:rPr>
        <w:t>: 10.1109/TGRS.2021.3072864. (</w:t>
      </w:r>
      <w:r>
        <w:rPr>
          <w:i/>
          <w:sz w:val="16"/>
          <w:szCs w:val="16"/>
        </w:rPr>
        <w:t xml:space="preserve">Note: This format is used for articles in early access. The </w:t>
      </w:r>
      <w:proofErr w:type="spellStart"/>
      <w:r>
        <w:rPr>
          <w:i/>
          <w:sz w:val="16"/>
          <w:szCs w:val="16"/>
        </w:rPr>
        <w:t>doi</w:t>
      </w:r>
      <w:proofErr w:type="spellEnd"/>
      <w:r>
        <w:rPr>
          <w:i/>
          <w:sz w:val="16"/>
          <w:szCs w:val="16"/>
        </w:rPr>
        <w:t xml:space="preserve">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Habi and H. Messer, "Recurrent neural network for rain estimation using commercial microwave links,"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vol. 59, no. 5, pp. 3672-3681, May 2021. [Online]. Available: https://ieeexplore.ieee.org/document/9153027</w:t>
      </w:r>
    </w:p>
    <w:p w14:paraId="755F5DBD" w14:textId="77777777" w:rsidR="00732E46" w:rsidRDefault="00732E46" w:rsidP="00851B4D">
      <w:pPr>
        <w:spacing w:before="60"/>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2D123922" w:rsidR="00732E46" w:rsidRDefault="000F2C11">
      <w:pPr>
        <w:rPr>
          <w:rFonts w:ascii="Times" w:eastAsia="Times" w:hAnsi="Times" w:cs="Times"/>
          <w:i/>
          <w:sz w:val="16"/>
          <w:szCs w:val="16"/>
        </w:rPr>
      </w:pPr>
      <w:r>
        <w:rPr>
          <w:sz w:val="16"/>
          <w:szCs w:val="16"/>
        </w:rPr>
        <w:t xml:space="preserve">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w:t>
      </w:r>
      <w:proofErr w:type="spellStart"/>
      <w:r>
        <w:rPr>
          <w:sz w:val="16"/>
          <w:szCs w:val="16"/>
        </w:rPr>
        <w:t>ch.</w:t>
      </w:r>
      <w:proofErr w:type="spellEnd"/>
      <w:r>
        <w:rPr>
          <w:sz w:val="16"/>
          <w:szCs w:val="16"/>
        </w:rPr>
        <w:t xml:space="preserve">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rsidP="00851B4D">
      <w:pPr>
        <w:spacing w:before="60"/>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rsidP="00851B4D">
      <w:pPr>
        <w:spacing w:before="60"/>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rsidP="00851B4D">
      <w:pPr>
        <w:spacing w:before="60"/>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w:t>
      </w:r>
      <w:proofErr w:type="spellStart"/>
      <w:r>
        <w:rPr>
          <w:sz w:val="16"/>
          <w:szCs w:val="16"/>
        </w:rPr>
        <w:t>Hijmans</w:t>
      </w:r>
      <w:proofErr w:type="spellEnd"/>
      <w:r>
        <w:rPr>
          <w:sz w:val="16"/>
          <w:szCs w:val="16"/>
        </w:rPr>
        <w:t xml:space="preserve">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rsidP="00851B4D">
      <w:pPr>
        <w:spacing w:before="40"/>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E. E. Reber,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proofErr w:type="spellStart"/>
      <w:r w:rsidRPr="00EF6430">
        <w:rPr>
          <w:sz w:val="16"/>
          <w:szCs w:val="16"/>
        </w:rPr>
        <w:t>xxxxxx</w:t>
      </w:r>
      <w:proofErr w:type="spellEnd"/>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2F269403"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1985, pp. 585–590.</w:t>
      </w:r>
    </w:p>
    <w:p w14:paraId="5083DE32" w14:textId="77777777" w:rsidR="00732E46" w:rsidRDefault="000F2C11" w:rsidP="00EF6430">
      <w:pPr>
        <w:numPr>
          <w:ilvl w:val="0"/>
          <w:numId w:val="1"/>
        </w:numPr>
        <w:ind w:left="360"/>
        <w:jc w:val="both"/>
      </w:pPr>
      <w:r>
        <w:rPr>
          <w:sz w:val="16"/>
          <w:szCs w:val="16"/>
        </w:rPr>
        <w:t xml:space="preserve">D. </w:t>
      </w:r>
      <w:proofErr w:type="spellStart"/>
      <w:r>
        <w:rPr>
          <w:sz w:val="16"/>
          <w:szCs w:val="16"/>
        </w:rPr>
        <w:t>Ebehard</w:t>
      </w:r>
      <w:proofErr w:type="spellEnd"/>
      <w:r>
        <w:rPr>
          <w:sz w:val="16"/>
          <w:szCs w:val="16"/>
        </w:rPr>
        <w:t xml:space="preserve">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851B4D">
      <w:pPr>
        <w:numPr>
          <w:ilvl w:val="0"/>
          <w:numId w:val="1"/>
        </w:numPr>
        <w:pBdr>
          <w:top w:val="nil"/>
          <w:left w:val="nil"/>
          <w:bottom w:val="nil"/>
          <w:right w:val="nil"/>
          <w:between w:val="nil"/>
        </w:pBdr>
        <w:ind w:left="360"/>
        <w:jc w:val="both"/>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 xml:space="preserve">Issuing Organization. (year,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Pr="00C04F49" w:rsidRDefault="000F2C11" w:rsidP="00932FBA">
      <w:pPr>
        <w:keepLines/>
        <w:rPr>
          <w:spacing w:val="-2"/>
          <w:sz w:val="16"/>
          <w:szCs w:val="16"/>
        </w:rPr>
      </w:pPr>
      <w:r w:rsidRPr="00C04F49">
        <w:rPr>
          <w:spacing w:val="-2"/>
          <w:sz w:val="16"/>
          <w:szCs w:val="16"/>
        </w:rPr>
        <w:t xml:space="preserve">J. K. Author, “Title of patent,” U.S. Patent </w:t>
      </w:r>
      <w:r w:rsidRPr="00C04F49">
        <w:rPr>
          <w:i/>
          <w:spacing w:val="-2"/>
          <w:sz w:val="16"/>
          <w:szCs w:val="16"/>
        </w:rPr>
        <w:t xml:space="preserve">x xxx </w:t>
      </w:r>
      <w:proofErr w:type="spellStart"/>
      <w:r w:rsidRPr="00C04F49">
        <w:rPr>
          <w:i/>
          <w:spacing w:val="-2"/>
          <w:sz w:val="16"/>
          <w:szCs w:val="16"/>
        </w:rPr>
        <w:t>xxx</w:t>
      </w:r>
      <w:proofErr w:type="spellEnd"/>
      <w:r w:rsidRPr="00C04F49">
        <w:rPr>
          <w:spacing w:val="-2"/>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G. Brandli and M. Dick, “Alternating current fed power supply,” U.S. Patent 4 084 217, Nov. 4, 1978.</w:t>
      </w:r>
    </w:p>
    <w:p w14:paraId="164BDCB3" w14:textId="77777777" w:rsidR="00851B4D" w:rsidRDefault="00851B4D">
      <w:pPr>
        <w:rPr>
          <w:rFonts w:eastAsia="Times"/>
          <w:i/>
        </w:rPr>
      </w:pPr>
    </w:p>
    <w:p w14:paraId="6559226A" w14:textId="7DB14FB5" w:rsidR="00732E46" w:rsidRPr="00D050EC" w:rsidRDefault="000F2C11">
      <w:pPr>
        <w:rPr>
          <w:rFonts w:eastAsia="Times"/>
          <w:i/>
        </w:rPr>
      </w:pPr>
      <w:r w:rsidRPr="00D050EC">
        <w:rPr>
          <w:rFonts w:eastAsia="Times"/>
          <w:i/>
        </w:rPr>
        <w:t>Basic format</w:t>
      </w:r>
      <w:r w:rsidRPr="008856C3">
        <w:rPr>
          <w:b/>
          <w:i/>
        </w:rPr>
        <w:t xml:space="preserve"> </w:t>
      </w:r>
      <w:r w:rsidRPr="00636D0A">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3084F7D8"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Standard number, Corporate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C562AB4" w:rsidR="00932FBA" w:rsidRPr="00D050EC"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60B0E832" w14:textId="7DC8B7D4" w:rsidR="00DA5A9A" w:rsidRDefault="00DA5A9A" w:rsidP="00DA5A9A">
      <w:pPr>
        <w:pBdr>
          <w:top w:val="nil"/>
          <w:left w:val="nil"/>
          <w:bottom w:val="nil"/>
          <w:right w:val="nil"/>
          <w:between w:val="nil"/>
        </w:pBdr>
        <w:jc w:val="both"/>
        <w:rPr>
          <w:color w:val="000000"/>
          <w:sz w:val="16"/>
          <w:szCs w:val="16"/>
        </w:rPr>
      </w:pPr>
    </w:p>
    <w:p w14:paraId="524A8437" w14:textId="3C7E2F1D" w:rsidR="00DA5A9A" w:rsidRPr="00D050EC" w:rsidRDefault="00DA5A9A" w:rsidP="00D050EC">
      <w:pPr>
        <w:rPr>
          <w:rFonts w:ascii="Times" w:eastAsia="Times" w:hAnsi="Times" w:cs="Times"/>
          <w:i/>
        </w:rPr>
      </w:pPr>
      <w:r w:rsidRPr="00D050EC">
        <w:rPr>
          <w:rFonts w:ascii="Times" w:eastAsia="Times" w:hAnsi="Times" w:cs="Times"/>
          <w:i/>
        </w:rPr>
        <w:t>Basic format for datasets: </w:t>
      </w:r>
    </w:p>
    <w:p w14:paraId="0FBF25E6" w14:textId="77777777" w:rsidR="00DA5A9A" w:rsidRPr="00D050EC" w:rsidRDefault="00DA5A9A" w:rsidP="00D050EC">
      <w:pPr>
        <w:rPr>
          <w:sz w:val="16"/>
          <w:szCs w:val="16"/>
        </w:rPr>
      </w:pPr>
      <w:r w:rsidRPr="00D050EC">
        <w:rPr>
          <w:sz w:val="16"/>
          <w:szCs w:val="16"/>
        </w:rPr>
        <w:t>Author,  Date, Year. “Title of Dataset,” distributed by Publisher/Distributor, http://url.com (or if DOI is used, end with a period)</w:t>
      </w:r>
    </w:p>
    <w:p w14:paraId="257A300C" w14:textId="77777777" w:rsidR="000D4F4C" w:rsidRDefault="000D4F4C" w:rsidP="00D050EC">
      <w:pPr>
        <w:rPr>
          <w:rFonts w:ascii="Times" w:eastAsia="Times" w:hAnsi="Times" w:cs="Times"/>
          <w:i/>
        </w:rPr>
      </w:pPr>
    </w:p>
    <w:p w14:paraId="331D9BF5" w14:textId="77777777" w:rsidR="00DA5A9A" w:rsidRDefault="00DA5A9A" w:rsidP="00D050EC">
      <w:r w:rsidRPr="00D050EC">
        <w:rPr>
          <w:rFonts w:ascii="Times" w:eastAsia="Times" w:hAnsi="Times" w:cs="Times"/>
          <w:i/>
        </w:rPr>
        <w:t>Example</w:t>
      </w:r>
      <w:r>
        <w:rPr>
          <w:rFonts w:ascii="Times" w:hAnsi="Times" w:cs="Times"/>
          <w:i/>
          <w:iCs/>
          <w:color w:val="000000"/>
        </w:rPr>
        <w:t>: </w:t>
      </w:r>
    </w:p>
    <w:p w14:paraId="11F4D0B6" w14:textId="50C21B56"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w:t>
      </w:r>
      <w:proofErr w:type="spellStart"/>
      <w:r w:rsidRPr="00D050EC">
        <w:rPr>
          <w:sz w:val="16"/>
          <w:szCs w:val="16"/>
        </w:rPr>
        <w:t>doi</w:t>
      </w:r>
      <w:proofErr w:type="spellEnd"/>
      <w:r w:rsidRPr="00D050EC">
        <w:rPr>
          <w:sz w:val="16"/>
          <w:szCs w:val="16"/>
        </w:rPr>
        <w:t>: 10.3886/ICPSR30122.v2.</w:t>
      </w:r>
    </w:p>
    <w:p w14:paraId="18412EEA" w14:textId="392FF066" w:rsidR="00DA5A9A" w:rsidRDefault="00DA5A9A" w:rsidP="00DA5A9A">
      <w:pPr>
        <w:pBdr>
          <w:top w:val="nil"/>
          <w:left w:val="nil"/>
          <w:bottom w:val="nil"/>
          <w:right w:val="nil"/>
          <w:between w:val="nil"/>
        </w:pBdr>
        <w:jc w:val="both"/>
        <w:rPr>
          <w:color w:val="000000"/>
        </w:rPr>
      </w:pPr>
    </w:p>
    <w:p w14:paraId="7F2657B0" w14:textId="7887FAC2" w:rsidR="00DA5A9A" w:rsidRPr="00D050EC" w:rsidRDefault="00DA5A9A" w:rsidP="00D050EC">
      <w:pPr>
        <w:rPr>
          <w:rFonts w:ascii="Times" w:eastAsia="Times" w:hAnsi="Times" w:cs="Times"/>
          <w:i/>
        </w:rPr>
      </w:pPr>
      <w:r w:rsidRPr="00D050EC">
        <w:rPr>
          <w:rFonts w:ascii="Times" w:eastAsia="Times" w:hAnsi="Times" w:cs="Times"/>
          <w:i/>
        </w:rPr>
        <w:t>Basic format for code:</w:t>
      </w:r>
    </w:p>
    <w:p w14:paraId="44FAB2C0" w14:textId="7DCDB0C7" w:rsidR="00DA5A9A" w:rsidRPr="00D050EC" w:rsidRDefault="00DA5A9A" w:rsidP="00D050EC">
      <w:pPr>
        <w:rPr>
          <w:rFonts w:ascii="Times" w:hAnsi="Times" w:cs="Times"/>
          <w:color w:val="000000"/>
          <w:sz w:val="16"/>
          <w:szCs w:val="16"/>
        </w:rPr>
      </w:pPr>
      <w:r w:rsidRPr="00D050EC">
        <w:rPr>
          <w:rFonts w:ascii="Times" w:hAnsi="Times" w:cs="Times"/>
          <w:color w:val="000000"/>
          <w:sz w:val="16"/>
          <w:szCs w:val="16"/>
        </w:rPr>
        <w:t>Author,  Date published or disseminated, Year. “Complete title, including ed./vers.#,”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ABE847" w14:textId="77777777" w:rsidR="00DA5A9A" w:rsidRDefault="00DA5A9A" w:rsidP="00DA5A9A">
      <w:pPr>
        <w:pBdr>
          <w:top w:val="nil"/>
          <w:left w:val="nil"/>
          <w:bottom w:val="nil"/>
          <w:right w:val="nil"/>
          <w:between w:val="nil"/>
        </w:pBdr>
        <w:jc w:val="both"/>
        <w:rPr>
          <w:color w:val="000000"/>
        </w:rPr>
      </w:pPr>
    </w:p>
    <w:p w14:paraId="4494678B" w14:textId="0C550615" w:rsidR="00DA5A9A" w:rsidRDefault="00DA5A9A" w:rsidP="00D050EC">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34D70B27" w14:textId="419F93B9" w:rsidR="00DA5A9A" w:rsidRPr="00D050EC" w:rsidRDefault="00DA5A9A" w:rsidP="00D050EC">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 xml:space="preserve">T. </w:t>
      </w:r>
      <w:proofErr w:type="spellStart"/>
      <w:r w:rsidRPr="00D050EC">
        <w:rPr>
          <w:rFonts w:ascii="Times" w:hAnsi="Times" w:cs="Times"/>
          <w:color w:val="000000"/>
          <w:sz w:val="16"/>
          <w:szCs w:val="16"/>
        </w:rPr>
        <w:t>D’Martin</w:t>
      </w:r>
      <w:proofErr w:type="spellEnd"/>
      <w:r w:rsidRPr="00D050EC">
        <w:rPr>
          <w:rFonts w:ascii="Times" w:hAnsi="Times" w:cs="Times"/>
          <w:color w:val="000000"/>
          <w:sz w:val="16"/>
          <w:szCs w:val="16"/>
        </w:rPr>
        <w:t xml:space="preserve"> and S. Soares, 2019, “Code for Assessment of Markov Decision Processes in Long-Term Hydrothermal Scheduling of Single-Reservoir Systems (Version 1.0),” Code Ocean, </w:t>
      </w:r>
      <w:proofErr w:type="spellStart"/>
      <w:r w:rsidRPr="00D050EC">
        <w:rPr>
          <w:rFonts w:ascii="Times" w:hAnsi="Times" w:cs="Times"/>
          <w:color w:val="000000"/>
          <w:sz w:val="16"/>
          <w:szCs w:val="16"/>
        </w:rPr>
        <w:t>doi</w:t>
      </w:r>
      <w:proofErr w:type="spellEnd"/>
      <w:r w:rsidRPr="00D050EC">
        <w:rPr>
          <w:rFonts w:ascii="Times" w:hAnsi="Times" w:cs="Times"/>
          <w:color w:val="000000"/>
          <w:sz w:val="16"/>
          <w:szCs w:val="16"/>
        </w:rPr>
        <w:t>: _1.24433/CO.7212286.v1</w:t>
      </w: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54C276F4" w:rsidR="00732E46" w:rsidRPr="00932FBA" w:rsidRDefault="00954BD6" w:rsidP="001E7EDB">
      <w:pPr>
        <w:pBdr>
          <w:top w:val="nil"/>
          <w:left w:val="nil"/>
          <w:bottom w:val="nil"/>
          <w:right w:val="nil"/>
          <w:between w:val="nil"/>
        </w:pBdr>
        <w:jc w:val="both"/>
        <w:rPr>
          <w:color w:val="000000"/>
        </w:rPr>
      </w:pPr>
      <w:r>
        <w:rPr>
          <w:noProof/>
        </w:rPr>
        <w:drawing>
          <wp:anchor distT="0" distB="0" distL="114300" distR="114300" simplePos="0" relativeHeight="251659264"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the publication allows. Biographies are often not included in conference-related papers. Please check the Information for Authors 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w:t>
      </w:r>
      <w:proofErr w:type="spellStart"/>
      <w:r>
        <w:rPr>
          <w:color w:val="000000"/>
        </w:rPr>
        <w:t>Kajor</w:t>
      </w:r>
      <w:proofErr w:type="spellEnd"/>
      <w:r>
        <w:rPr>
          <w:color w:val="000000"/>
        </w:rPr>
        <w:t xml:space="preserve">,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69426" w14:textId="77777777" w:rsidR="00D006F7" w:rsidRDefault="00D006F7">
      <w:r>
        <w:separator/>
      </w:r>
    </w:p>
  </w:endnote>
  <w:endnote w:type="continuationSeparator" w:id="0">
    <w:p w14:paraId="5BE3CA74" w14:textId="77777777" w:rsidR="00D006F7" w:rsidRDefault="00D00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3AE97" w14:textId="77777777" w:rsidR="00D006F7" w:rsidRPr="009A0AA6" w:rsidRDefault="00D006F7" w:rsidP="009A0AA6">
      <w:pPr>
        <w:pStyle w:val="Footer"/>
      </w:pPr>
    </w:p>
  </w:footnote>
  <w:footnote w:type="continuationSeparator" w:id="0">
    <w:p w14:paraId="25A84B1B" w14:textId="77777777" w:rsidR="00D006F7" w:rsidRDefault="00D006F7">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171AA1EF" w14:textId="1C40AB32" w:rsidR="00074A99" w:rsidRDefault="00074A99">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74A99"/>
    <w:rsid w:val="00081747"/>
    <w:rsid w:val="00085D7A"/>
    <w:rsid w:val="000968E1"/>
    <w:rsid w:val="000C21BE"/>
    <w:rsid w:val="000C3075"/>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E2847"/>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62C82"/>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645E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06F7"/>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8C358553-CD59-49D7-AB2A-F417371C2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7</Pages>
  <Words>4819</Words>
  <Characters>26746</Characters>
  <Application>Microsoft Office Word</Application>
  <DocSecurity>0</DocSecurity>
  <Lines>668</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AKIB OSMANI</cp:lastModifiedBy>
  <cp:revision>3</cp:revision>
  <dcterms:created xsi:type="dcterms:W3CDTF">2024-06-12T13:11:00Z</dcterms:created>
  <dcterms:modified xsi:type="dcterms:W3CDTF">2026-01-04T08:34:00Z</dcterms:modified>
</cp:coreProperties>
</file>