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aps/>
          <w:color w:val="1B3A6B"/>
          <w:sz w:val="28"/>
          <w:szCs w:val="28"/>
        </w:rPr>
        <w:t xml:space="preserve">JOHNS HOPKINS HOSPITAL</w:t>
      </w:r>
    </w:p>
    <w:p>
      <w:pPr>
        <w:pBdr>
          <w:bottom w:val="single" w:color="B8860B" w:sz="6" w:space="8"/>
        </w:pBdr>
        <w:spacing w:after="40" w:before="0"/>
        <w:jc w:val="center"/>
      </w:pPr>
      <w:r>
        <w:rPr>
          <w:rFonts w:ascii="Arial" w:cs="Arial" w:eastAsia="Arial" w:hAnsi="Arial"/>
          <w:color w:val="555555"/>
          <w:sz w:val="20"/>
          <w:szCs w:val="20"/>
        </w:rPr>
        <w:t xml:space="preserve">Information Security  |  Vendor Risk Management</w:t>
      </w:r>
    </w:p>
    <w:p>
      <w:pPr>
        <w:spacing w:after="0" w:before="200"/>
      </w:pPr>
      <w:r>
        <w:t xml:space="preserve"/>
      </w:r>
    </w:p>
    <w:p>
      <w:pPr>
        <w:spacing w:after="80" w:before="0"/>
        <w:jc w:val="center"/>
      </w:pPr>
      <w:r>
        <w:rPr>
          <w:rFonts w:ascii="Arial" w:cs="Arial" w:eastAsia="Arial" w:hAnsi="Arial"/>
          <w:b/>
          <w:bCs/>
          <w:color w:val="1B3A6B"/>
          <w:sz w:val="52"/>
          <w:szCs w:val="52"/>
        </w:rPr>
        <w:t xml:space="preserve">Third-Party Risk Management</w:t>
      </w:r>
    </w:p>
    <w:p>
      <w:pPr>
        <w:spacing w:after="160" w:before="0"/>
        <w:jc w:val="center"/>
      </w:pPr>
      <w:r>
        <w:rPr>
          <w:rFonts w:ascii="Arial" w:cs="Arial" w:eastAsia="Arial" w:hAnsi="Arial"/>
          <w:b w:val="false"/>
          <w:bCs w:val="false"/>
          <w:color w:val="0D7377"/>
          <w:sz w:val="36"/>
          <w:szCs w:val="36"/>
        </w:rPr>
        <w:t xml:space="preserve">Engagement Report: Weeks 1 – 6</w:t>
      </w:r>
    </w:p>
    <w:p>
      <w:pPr>
        <w:spacing w:after="0" w:before="80"/>
      </w:pPr>
      <w:r>
        <w:t xml:space="preserve"/>
      </w:r>
    </w:p>
    <w:p>
      <w:pPr>
        <w:spacing w:after="40" w:before="40"/>
        <w:jc w:val="center"/>
      </w:pPr>
      <w:r>
        <w:rPr>
          <w:rFonts w:ascii="Arial" w:cs="Arial" w:eastAsia="Arial" w:hAnsi="Arial"/>
          <w:color w:val="555555"/>
          <w:sz w:val="22"/>
          <w:szCs w:val="22"/>
        </w:rPr>
        <w:t xml:space="preserve">Prepared by: Healthcare GRC / Vendor Risk Analyst Intern</w:t>
      </w:r>
    </w:p>
    <w:p>
      <w:pPr>
        <w:spacing w:after="40" w:before="40"/>
        <w:jc w:val="center"/>
      </w:pPr>
      <w:r>
        <w:rPr>
          <w:rFonts w:ascii="Arial" w:cs="Arial" w:eastAsia="Arial" w:hAnsi="Arial"/>
          <w:color w:val="555555"/>
          <w:sz w:val="22"/>
          <w:szCs w:val="22"/>
        </w:rPr>
        <w:t xml:space="preserve">Presented to: CIO / CISO, Compliance &amp; Privacy Leadership, Healthcare Risk Management Stakeholders</w:t>
      </w:r>
    </w:p>
    <w:p>
      <w:pPr>
        <w:spacing w:after="40" w:before="40"/>
        <w:jc w:val="center"/>
      </w:pPr>
      <w:r>
        <w:rPr>
          <w:rFonts w:ascii="Arial" w:cs="Arial" w:eastAsia="Arial" w:hAnsi="Arial"/>
          <w:b/>
          <w:bCs/>
          <w:color w:val="1B3A6B"/>
          <w:sz w:val="22"/>
          <w:szCs w:val="22"/>
        </w:rPr>
        <w:t xml:space="preserve">Date: April 2026  |  Classification: Confidential</w:t>
      </w:r>
    </w:p>
    <w:p>
      <w:pPr>
        <w:spacing w:after="0" w:before="600"/>
      </w:pPr>
      <w:r>
        <w:t xml:space="preserve"/>
      </w:r>
    </w:p>
    <w:p>
      <w:pPr>
        <w:jc w:val="center"/>
      </w:pPr>
      <w:r>
        <w:rPr>
          <w:rFonts w:ascii="Arial" w:cs="Arial" w:eastAsia="Arial" w:hAnsi="Arial"/>
          <w:caps/>
          <w:color w:val="555555"/>
          <w:sz w:val="18"/>
          <w:szCs w:val="18"/>
        </w:rPr>
        <w:t xml:space="preserve">FINAL DELIVERABLE  |  WEEK 6 — CLOSURE</w:t>
      </w:r>
    </w:p>
    <w:p>
      <w:r>
        <w:br w:type="page"/>
      </w:r>
    </w:p>
    <w:p>
      <w:pPr>
        <w:pStyle w:val="Heading1"/>
        <w:pBdr>
          <w:bottom w:val="single" w:color="1B3A6B" w:sz="4" w:space="6"/>
        </w:pBdr>
        <w:spacing w:after="200" w:before="400"/>
      </w:pPr>
      <w:r>
        <w:rPr>
          <w:rFonts w:ascii="Arial" w:cs="Arial" w:eastAsia="Arial" w:hAnsi="Arial"/>
          <w:b/>
          <w:bCs/>
          <w:color w:val="1B3A6B"/>
          <w:sz w:val="36"/>
          <w:szCs w:val="36"/>
        </w:rPr>
        <w:t xml:space="preserve">Executive Summary</w:t>
      </w:r>
    </w:p>
    <w:p>
      <w:pPr>
        <w:spacing w:after="80" w:before="80" w:line="320"/>
      </w:pPr>
      <w:r>
        <w:rPr>
          <w:rFonts w:ascii="Arial" w:cs="Arial" w:eastAsia="Arial" w:hAnsi="Arial"/>
          <w:b w:val="false"/>
          <w:bCs w:val="false"/>
          <w:i w:val="false"/>
          <w:iCs w:val="false"/>
          <w:color w:val="1A1A1A"/>
          <w:sz w:val="22"/>
          <w:szCs w:val="22"/>
        </w:rPr>
        <w:t xml:space="preserve">This report presents a comprehensive account of the six-week Third-Party Risk Management (TPRM) engagement conducted at Johns Hopkins Hospital (JHH) from initiation through closure. The engagement was designed to evaluate, score, remediate, and establish ongoing monitoring controls for all third-party vendors with access to protected health information (PHI) or critical hospital systems.</w:t>
      </w:r>
    </w:p>
    <w:p>
      <w:pPr>
        <w:spacing w:after="0" w:before="80"/>
      </w:pPr>
      <w:r>
        <w:t xml:space="preserve"/>
      </w:r>
    </w:p>
    <w:p>
      <w:pPr>
        <w:spacing w:after="80" w:before="80" w:line="320"/>
      </w:pPr>
      <w:r>
        <w:rPr>
          <w:rFonts w:ascii="Arial" w:cs="Arial" w:eastAsia="Arial" w:hAnsi="Arial"/>
          <w:b w:val="false"/>
          <w:bCs w:val="false"/>
          <w:i w:val="false"/>
          <w:iCs w:val="false"/>
          <w:color w:val="1A1A1A"/>
          <w:sz w:val="22"/>
          <w:szCs w:val="22"/>
        </w:rPr>
        <w:t xml:space="preserve">The engagement progressed through a structured lifecycle: establishing the TPRM foundation, developing a formal project plan, conducting healthcare-specific vendor due diligence, executing risk remediation, deploying continuous monitoring infrastructure, and presenting a final executive briefing. Each week built upon the last to produce a defensible, audit-ready TPRM program aligned with HIPAA, HITECH, HITRUST, NIST SP 800-53, and ISO/IEC 27001.</w:t>
      </w:r>
    </w:p>
    <w:p>
      <w:pPr>
        <w:spacing w:after="0" w:before="80"/>
      </w:pPr>
      <w:r>
        <w:t xml:space="preserve"/>
      </w:r>
    </w:p>
    <w:p>
      <w:pPr>
        <w:pStyle w:val="Heading2"/>
        <w:spacing w:after="140" w:before="280"/>
      </w:pPr>
      <w:r>
        <w:rPr>
          <w:rFonts w:ascii="Arial" w:cs="Arial" w:eastAsia="Arial" w:hAnsi="Arial"/>
          <w:b/>
          <w:bCs/>
          <w:color w:val="0D7377"/>
          <w:sz w:val="28"/>
          <w:szCs w:val="28"/>
        </w:rPr>
        <w:t xml:space="preserve">Programme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Week</w:t>
            </w:r>
          </w:p>
        </w:tc>
        <w:tc>
          <w:tcPr>
            <w:tcW w:type="dxa" w:w="2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Output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Week 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Initiation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Vendor inventory, policy review, regulatory mapping, stakeholder framework</w:t>
            </w:r>
          </w:p>
        </w:tc>
      </w:tr>
      <w:tr>
        <w:tc>
          <w:tcPr>
            <w:tcW w:type="dxa" w:w="1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Week 2</w:t>
            </w:r>
          </w:p>
        </w:tc>
        <w:tc>
          <w:tcPr>
            <w:tcW w:type="dxa" w:w="2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Planning</w:t>
            </w:r>
          </w:p>
        </w:tc>
        <w:tc>
          <w:tcPr>
            <w:tcW w:type="dxa" w:w="5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Project Charter, Vendor Criticality Matrix, RACI Chart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Week 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Vendor Due Diligence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Healthcare questionnaire, simulated vendor responses, risk scoring table</w:t>
            </w:r>
          </w:p>
        </w:tc>
      </w:tr>
      <w:tr>
        <w:tc>
          <w:tcPr>
            <w:tcW w:type="dxa" w:w="1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Week 4</w:t>
            </w:r>
          </w:p>
        </w:tc>
        <w:tc>
          <w:tcPr>
            <w:tcW w:type="dxa" w:w="2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Risk Remediation</w:t>
            </w:r>
          </w:p>
        </w:tc>
        <w:tc>
          <w:tcPr>
            <w:tcW w:type="dxa" w:w="5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Remediation Plan, Risk Treatment Worksheet, 30–60 day action timeline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Week 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Monitoring &amp; Control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KPI Dashboard, Compliance Tracker, Contract Improvement Report</w:t>
            </w:r>
          </w:p>
        </w:tc>
      </w:tr>
      <w:tr>
        <w:tc>
          <w:tcPr>
            <w:tcW w:type="dxa" w:w="1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Week 6</w:t>
            </w:r>
          </w:p>
        </w:tc>
        <w:tc>
          <w:tcPr>
            <w:tcW w:type="dxa" w:w="2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Closure &amp; Briefing</w:t>
            </w:r>
          </w:p>
        </w:tc>
        <w:tc>
          <w:tcPr>
            <w:tcW w:type="dxa" w:w="5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Final TPRM Report, Executive Briefing Deck, Vendor Risk Improvement Checklist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Key Finding: Across 59 active vendors, 9 required urgent action (3 critical, 6 high-risk). Fourteen HIPAA gaps were identified across administrative, technical, and physical safeguard categories. Three high-risk vendors lacked valid Business Associate Agreements at engagement close.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val="false"/>
                <w:bCs w:val="false"/>
                <w:color w:val="A8C4E0"/>
                <w:sz w:val="20"/>
                <w:szCs w:val="20"/>
              </w:rPr>
              <w:t xml:space="preserve">WEEK 1</w:t>
            </w:r>
          </w:p>
          <w:p>
            <w:pPr>
              <w:spacing w:after="40" w:before="40"/>
              <w:jc w:val="left"/>
            </w:pPr>
            <w:r>
              <w:rPr>
                <w:rFonts w:ascii="Arial" w:cs="Arial" w:eastAsia="Arial" w:hAnsi="Arial"/>
                <w:b/>
                <w:bCs/>
                <w:color w:val="FFFFFF"/>
                <w:sz w:val="36"/>
                <w:szCs w:val="36"/>
              </w:rPr>
              <w:t xml:space="preserve">TPRM Initiation</w:t>
            </w:r>
          </w:p>
          <w:p>
            <w:pPr>
              <w:jc w:val="left"/>
            </w:pPr>
            <w:r>
              <w:rPr>
                <w:rFonts w:ascii="Arial" w:cs="Arial" w:eastAsia="Arial" w:hAnsi="Arial"/>
                <w:i/>
                <w:iCs/>
                <w:color w:val="C8D8EC"/>
                <w:sz w:val="20"/>
                <w:szCs w:val="20"/>
              </w:rPr>
              <w:t xml:space="preserve">Establishing the Third-Party Risk Foundation for Johns Hopkins Hospital</w:t>
            </w:r>
          </w:p>
        </w:tc>
      </w:tr>
    </w:tbl>
    <w:p>
      <w:pPr>
        <w:spacing w:after="0" w:before="160"/>
      </w:pPr>
      <w:r>
        <w:t xml:space="preserve"/>
      </w:r>
    </w:p>
    <w:p>
      <w:pPr>
        <w:pStyle w:val="Heading2"/>
        <w:spacing w:after="140" w:before="280"/>
      </w:pPr>
      <w:r>
        <w:rPr>
          <w:rFonts w:ascii="Arial" w:cs="Arial" w:eastAsia="Arial" w:hAnsi="Arial"/>
          <w:b/>
          <w:bCs/>
          <w:color w:val="0D7377"/>
          <w:sz w:val="28"/>
          <w:szCs w:val="28"/>
        </w:rPr>
        <w:t xml:space="preserve">1.1  Overview &amp; Objectives</w:t>
      </w:r>
    </w:p>
    <w:p>
      <w:pPr>
        <w:spacing w:after="80" w:before="80" w:line="320"/>
      </w:pPr>
      <w:r>
        <w:rPr>
          <w:rFonts w:ascii="Arial" w:cs="Arial" w:eastAsia="Arial" w:hAnsi="Arial"/>
          <w:b w:val="false"/>
          <w:bCs w:val="false"/>
          <w:i w:val="false"/>
          <w:iCs w:val="false"/>
          <w:color w:val="1A1A1A"/>
          <w:sz w:val="22"/>
          <w:szCs w:val="22"/>
        </w:rPr>
        <w:t xml:space="preserve">The first week of the TPRM engagement was dedicated to establishing the foundational knowledge and structural prerequisites necessary for a rigorous, scalable vendor risk programme. As a Healthcare GRC / Vendor Risk Analyst Intern, the primary objective was to understand the TPRM lifecycle within JHH's complex clinical, research, and administrative environment.</w:t>
      </w:r>
    </w:p>
    <w:p>
      <w:pPr>
        <w:spacing w:after="0" w:before="80"/>
      </w:pPr>
      <w:r>
        <w:t xml:space="preserve"/>
      </w:r>
    </w:p>
    <w:p>
      <w:pPr>
        <w:spacing w:after="80" w:before="80" w:line="320"/>
      </w:pPr>
      <w:r>
        <w:rPr>
          <w:rFonts w:ascii="Arial" w:cs="Arial" w:eastAsia="Arial" w:hAnsi="Arial"/>
          <w:b w:val="false"/>
          <w:bCs w:val="false"/>
          <w:i w:val="false"/>
          <w:iCs w:val="false"/>
          <w:color w:val="1A1A1A"/>
          <w:sz w:val="22"/>
          <w:szCs w:val="22"/>
        </w:rPr>
        <w:t xml:space="preserve">Four parallel workstreams were pursued simultaneously:</w:t>
      </w:r>
    </w:p>
    <w:p>
      <w:pPr>
        <w:pStyle w:val="ListParagraph"/>
        <w:numPr>
          <w:ilvl w:val="0"/>
          <w:numId w:val="2"/>
        </w:numPr>
        <w:spacing w:after="60" w:before="60"/>
      </w:pPr>
      <w:r>
        <w:rPr>
          <w:rFonts w:ascii="Arial" w:cs="Arial" w:eastAsia="Arial" w:hAnsi="Arial"/>
          <w:color w:val="1A1A1A"/>
          <w:sz w:val="22"/>
          <w:szCs w:val="22"/>
        </w:rPr>
        <w:t xml:space="preserve">Policy Review — Analysis of JHH's Vendor Management Policy (FIN150) and Information Security Policy (TECH001).</w:t>
      </w:r>
    </w:p>
    <w:p>
      <w:pPr>
        <w:pStyle w:val="ListParagraph"/>
        <w:numPr>
          <w:ilvl w:val="0"/>
          <w:numId w:val="2"/>
        </w:numPr>
        <w:spacing w:after="60" w:before="60"/>
      </w:pPr>
      <w:r>
        <w:rPr>
          <w:rFonts w:ascii="Arial" w:cs="Arial" w:eastAsia="Arial" w:hAnsi="Arial"/>
          <w:color w:val="1A1A1A"/>
          <w:sz w:val="22"/>
          <w:szCs w:val="22"/>
        </w:rPr>
        <w:t xml:space="preserve">Vendor Identification — Compilation of a strategic vendor inventory spanning clinical, cloud, and IT domains.</w:t>
      </w:r>
    </w:p>
    <w:p>
      <w:pPr>
        <w:pStyle w:val="ListParagraph"/>
        <w:numPr>
          <w:ilvl w:val="0"/>
          <w:numId w:val="2"/>
        </w:numPr>
        <w:spacing w:after="60" w:before="60"/>
      </w:pPr>
      <w:r>
        <w:rPr>
          <w:rFonts w:ascii="Arial" w:cs="Arial" w:eastAsia="Arial" w:hAnsi="Arial"/>
          <w:color w:val="1A1A1A"/>
          <w:sz w:val="22"/>
          <w:szCs w:val="22"/>
        </w:rPr>
        <w:t xml:space="preserve">Stakeholder Mapping — Identification of cross-functional internal stakeholders across Information Security, Compliance, Clinical Operations, and IT/Biomedical Engineering.</w:t>
      </w:r>
    </w:p>
    <w:p>
      <w:pPr>
        <w:pStyle w:val="ListParagraph"/>
        <w:numPr>
          <w:ilvl w:val="0"/>
          <w:numId w:val="2"/>
        </w:numPr>
        <w:spacing w:after="60" w:before="60"/>
      </w:pPr>
      <w:r>
        <w:rPr>
          <w:rFonts w:ascii="Arial" w:cs="Arial" w:eastAsia="Arial" w:hAnsi="Arial"/>
          <w:color w:val="1A1A1A"/>
          <w:sz w:val="22"/>
          <w:szCs w:val="22"/>
        </w:rPr>
        <w:t xml:space="preserve">Regulatory Review — Assessment of obligations under HIPAA, HITECH, HITRUST, NIST SP 800-53, and ISO/IEC 27001.</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1.2  Policy Review — FIN150 &amp; TECH001</w:t>
      </w:r>
    </w:p>
    <w:p>
      <w:pPr>
        <w:spacing w:after="80" w:before="80" w:line="320"/>
      </w:pPr>
      <w:r>
        <w:rPr>
          <w:rFonts w:ascii="Arial" w:cs="Arial" w:eastAsia="Arial" w:hAnsi="Arial"/>
          <w:b w:val="false"/>
          <w:bCs w:val="false"/>
          <w:i w:val="false"/>
          <w:iCs w:val="false"/>
          <w:color w:val="1A1A1A"/>
          <w:sz w:val="22"/>
          <w:szCs w:val="22"/>
        </w:rPr>
        <w:t xml:space="preserve">Two foundational JHH policies were analysed to understand the existing governance baseline:</w:t>
      </w:r>
    </w:p>
    <w:p>
      <w:pPr>
        <w:spacing w:after="0" w:before="80"/>
      </w:pPr>
      <w:r>
        <w:t xml:space="preserve"/>
      </w:r>
    </w:p>
    <w:p>
      <w:pPr>
        <w:spacing w:after="100" w:before="200"/>
      </w:pPr>
      <w:r>
        <w:rPr>
          <w:rFonts w:ascii="Arial" w:cs="Arial" w:eastAsia="Arial" w:hAnsi="Arial"/>
          <w:b/>
          <w:bCs/>
          <w:color w:val="1B3A6B"/>
          <w:sz w:val="24"/>
          <w:szCs w:val="24"/>
        </w:rPr>
        <w:t xml:space="preserve">Vendor Management Policy (FIN150)</w:t>
      </w:r>
    </w:p>
    <w:p>
      <w:pPr>
        <w:pStyle w:val="ListParagraph"/>
        <w:numPr>
          <w:ilvl w:val="0"/>
          <w:numId w:val="2"/>
        </w:numPr>
        <w:spacing w:after="60" w:before="60"/>
      </w:pPr>
      <w:r>
        <w:rPr>
          <w:rFonts w:ascii="Arial" w:cs="Arial" w:eastAsia="Arial" w:hAnsi="Arial"/>
          <w:color w:val="1A1A1A"/>
          <w:sz w:val="22"/>
          <w:szCs w:val="22"/>
        </w:rPr>
        <w:t xml:space="preserve">Defines four levels of on-site access for clinical and non-clinical vendors.</w:t>
      </w:r>
    </w:p>
    <w:p>
      <w:pPr>
        <w:pStyle w:val="ListParagraph"/>
        <w:numPr>
          <w:ilvl w:val="0"/>
          <w:numId w:val="2"/>
        </w:numPr>
        <w:spacing w:after="60" w:before="60"/>
      </w:pPr>
      <w:r>
        <w:rPr>
          <w:rFonts w:ascii="Arial" w:cs="Arial" w:eastAsia="Arial" w:hAnsi="Arial"/>
          <w:color w:val="1A1A1A"/>
          <w:sz w:val="22"/>
          <w:szCs w:val="22"/>
        </w:rPr>
        <w:t xml:space="preserve">Mandates background checks and ID registration for all Level 1–3 vendors.</w:t>
      </w:r>
    </w:p>
    <w:p>
      <w:pPr>
        <w:pStyle w:val="ListParagraph"/>
        <w:numPr>
          <w:ilvl w:val="0"/>
          <w:numId w:val="2"/>
        </w:numPr>
        <w:spacing w:after="60" w:before="60"/>
      </w:pPr>
      <w:r>
        <w:rPr>
          <w:rFonts w:ascii="Arial" w:cs="Arial" w:eastAsia="Arial" w:hAnsi="Arial"/>
          <w:color w:val="1A1A1A"/>
          <w:sz w:val="22"/>
          <w:szCs w:val="22"/>
        </w:rPr>
        <w:t xml:space="preserve">Prohibits the introduction of unauthorised medical products without Supply Chain approval.</w:t>
      </w:r>
    </w:p>
    <w:p>
      <w:pPr>
        <w:spacing w:after="0" w:before="80"/>
      </w:pPr>
      <w:r>
        <w:t xml:space="preserve"/>
      </w:r>
    </w:p>
    <w:p>
      <w:pPr>
        <w:spacing w:after="100" w:before="200"/>
      </w:pPr>
      <w:r>
        <w:rPr>
          <w:rFonts w:ascii="Arial" w:cs="Arial" w:eastAsia="Arial" w:hAnsi="Arial"/>
          <w:b/>
          <w:bCs/>
          <w:color w:val="1B3A6B"/>
          <w:sz w:val="24"/>
          <w:szCs w:val="24"/>
        </w:rPr>
        <w:t xml:space="preserve">Information Security Policy (TECH001)</w:t>
      </w:r>
    </w:p>
    <w:p>
      <w:pPr>
        <w:pStyle w:val="ListParagraph"/>
        <w:numPr>
          <w:ilvl w:val="0"/>
          <w:numId w:val="2"/>
        </w:numPr>
        <w:spacing w:after="60" w:before="60"/>
      </w:pPr>
      <w:r>
        <w:rPr>
          <w:rFonts w:ascii="Arial" w:cs="Arial" w:eastAsia="Arial" w:hAnsi="Arial"/>
          <w:color w:val="1A1A1A"/>
          <w:sz w:val="22"/>
          <w:szCs w:val="22"/>
        </w:rPr>
        <w:t xml:space="preserve">Establishes three data classification tiers: Restricted, Confidential, and Internal.</w:t>
      </w:r>
    </w:p>
    <w:p>
      <w:pPr>
        <w:pStyle w:val="ListParagraph"/>
        <w:numPr>
          <w:ilvl w:val="0"/>
          <w:numId w:val="2"/>
        </w:numPr>
        <w:spacing w:after="60" w:before="60"/>
      </w:pPr>
      <w:r>
        <w:rPr>
          <w:rFonts w:ascii="Arial" w:cs="Arial" w:eastAsia="Arial" w:hAnsi="Arial"/>
          <w:color w:val="1A1A1A"/>
          <w:sz w:val="22"/>
          <w:szCs w:val="22"/>
        </w:rPr>
        <w:t xml:space="preserve">Requires mandatory AES-256 encryption for all ePHI and restricted data.</w:t>
      </w:r>
    </w:p>
    <w:p>
      <w:pPr>
        <w:pStyle w:val="ListParagraph"/>
        <w:numPr>
          <w:ilvl w:val="0"/>
          <w:numId w:val="2"/>
        </w:numPr>
        <w:spacing w:after="60" w:before="60"/>
      </w:pPr>
      <w:r>
        <w:rPr>
          <w:rFonts w:ascii="Arial" w:cs="Arial" w:eastAsia="Arial" w:hAnsi="Arial"/>
          <w:color w:val="1A1A1A"/>
          <w:sz w:val="22"/>
          <w:szCs w:val="22"/>
        </w:rPr>
        <w:t xml:space="preserve">Reserves JHH's right to conduct annual security reviews of critical vendors.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Priority Declaration: Patient safety and data protection are the primary drivers for all vendor risk assessments at JHH, as codified in both FIN150 and TECH001.</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1.3  Strategic Healthcare Vendor Inventory</w:t>
      </w:r>
    </w:p>
    <w:p>
      <w:pPr>
        <w:spacing w:after="80" w:before="80" w:line="320"/>
      </w:pPr>
      <w:r>
        <w:rPr>
          <w:rFonts w:ascii="Arial" w:cs="Arial" w:eastAsia="Arial" w:hAnsi="Arial"/>
          <w:b w:val="false"/>
          <w:bCs w:val="false"/>
          <w:i w:val="false"/>
          <w:iCs w:val="false"/>
          <w:color w:val="1A1A1A"/>
          <w:sz w:val="22"/>
          <w:szCs w:val="22"/>
        </w:rPr>
        <w:t xml:space="preserve">Ten strategic healthcare vendors were identified and tiered based on their access to ePHI and direct impact on JHH clinical operations. These vendors span EHR systems, cloud infrastructure, medical devices, telehealth, identity management, and revenue cycle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860"/>
        <w:gridCol w:w="12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8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Risk Domain</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Epic Systems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Electronic Health Records (EHR)</w:t>
            </w:r>
          </w:p>
        </w:tc>
        <w:tc>
          <w:tcPr>
            <w:tcW w:type="dxa" w:w="2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ePHI / Clinical Continuity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AWS / Azure</w:t>
            </w:r>
          </w:p>
        </w:tc>
        <w:tc>
          <w:tcPr>
            <w:tcW w:type="dxa" w:w="21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Cloud Hosting Provider</w:t>
            </w:r>
          </w:p>
        </w:tc>
        <w:tc>
          <w:tcPr>
            <w:tcW w:type="dxa" w:w="28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Data Integrity / Availability</w:t>
            </w:r>
          </w:p>
        </w:tc>
        <w:tc>
          <w:tcPr>
            <w:tcW w:type="dxa" w:w="1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Philips / GE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Medical Device Vendors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Patient Safety / IoT Security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Zoom for Healthcare</w:t>
            </w:r>
          </w:p>
        </w:tc>
        <w:tc>
          <w:tcPr>
            <w:tcW w:type="dxa" w:w="21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Telehealth Platform</w:t>
            </w:r>
          </w:p>
        </w:tc>
        <w:tc>
          <w:tcPr>
            <w:tcW w:type="dxa" w:w="28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Privacy / HIPAA Compliance</w:t>
            </w:r>
          </w:p>
        </w:tc>
        <w:tc>
          <w:tcPr>
            <w:tcW w:type="dxa" w:w="1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MEDIUM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Change Healthcare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Revenue Cycle &amp; Billing</w:t>
            </w:r>
          </w:p>
        </w:tc>
        <w:tc>
          <w:tcPr>
            <w:tcW w:type="dxa" w:w="2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Financial / ePHI Security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Okta</w:t>
            </w:r>
          </w:p>
        </w:tc>
        <w:tc>
          <w:tcPr>
            <w:tcW w:type="dxa" w:w="21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Identity &amp; Access (IAM)</w:t>
            </w:r>
          </w:p>
        </w:tc>
        <w:tc>
          <w:tcPr>
            <w:tcW w:type="dxa" w:w="28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Authentication / PII</w:t>
            </w:r>
          </w:p>
        </w:tc>
        <w:tc>
          <w:tcPr>
            <w:tcW w:type="dxa" w:w="1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ServiceNow</w:t>
            </w:r>
          </w:p>
        </w:tc>
        <w:tc>
          <w:tcPr>
            <w:tcW w:type="dxa" w:w="21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ITSM / GRC Platform</w:t>
            </w:r>
          </w:p>
        </w:tc>
        <w:tc>
          <w:tcPr>
            <w:tcW w:type="dxa" w:w="2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Operational Resilience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MEDIUM</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Medtronic</w:t>
            </w:r>
          </w:p>
        </w:tc>
        <w:tc>
          <w:tcPr>
            <w:tcW w:type="dxa" w:w="21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Networked Medical Devices</w:t>
            </w:r>
          </w:p>
        </w:tc>
        <w:tc>
          <w:tcPr>
            <w:tcW w:type="dxa" w:w="28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Patient Safety / ePHI</w:t>
            </w:r>
          </w:p>
        </w:tc>
        <w:tc>
          <w:tcPr>
            <w:tcW w:type="dxa" w:w="1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Experian Health</w:t>
            </w:r>
          </w:p>
        </w:tc>
        <w:tc>
          <w:tcPr>
            <w:tcW w:type="dxa" w:w="21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Eligibility &amp; Billing</w:t>
            </w:r>
          </w:p>
        </w:tc>
        <w:tc>
          <w:tcPr>
            <w:tcW w:type="dxa" w:w="2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Financial / PII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MEDIUM</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Doxy.me</w:t>
            </w:r>
          </w:p>
        </w:tc>
        <w:tc>
          <w:tcPr>
            <w:tcW w:type="dxa" w:w="21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Telehealth Platform</w:t>
            </w:r>
          </w:p>
        </w:tc>
        <w:tc>
          <w:tcPr>
            <w:tcW w:type="dxa" w:w="28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ePHI / HIPAA Compliance</w:t>
            </w:r>
          </w:p>
        </w:tc>
        <w:tc>
          <w:tcPr>
            <w:tcW w:type="dxa" w:w="1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MEDIUM</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1.4  Cross-Functional Stakeholder Framework</w:t>
      </w:r>
    </w:p>
    <w:p>
      <w:pPr>
        <w:spacing w:after="80" w:before="80" w:line="320"/>
      </w:pPr>
      <w:r>
        <w:rPr>
          <w:rFonts w:ascii="Arial" w:cs="Arial" w:eastAsia="Arial" w:hAnsi="Arial"/>
          <w:b w:val="false"/>
          <w:bCs w:val="false"/>
          <w:i w:val="false"/>
          <w:iCs w:val="false"/>
          <w:color w:val="1A1A1A"/>
          <w:sz w:val="22"/>
          <w:szCs w:val="22"/>
        </w:rPr>
        <w:t xml:space="preserve">Effective TPRM at JHH is a shared responsibility. A cross-functional stakeholder model was defined to ensure that risk oversight is distributed across departments with clear accountability:</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Information Security — Leads technical risk assessments, manages security due diligence, and oversees vendor access governance and MFA enforcement.</w:t>
      </w:r>
    </w:p>
    <w:p>
      <w:pPr>
        <w:pStyle w:val="ListParagraph"/>
        <w:numPr>
          <w:ilvl w:val="0"/>
          <w:numId w:val="2"/>
        </w:numPr>
        <w:spacing w:after="60" w:before="60"/>
      </w:pPr>
      <w:r>
        <w:rPr>
          <w:rFonts w:ascii="Arial" w:cs="Arial" w:eastAsia="Arial" w:hAnsi="Arial"/>
          <w:color w:val="1A1A1A"/>
          <w:sz w:val="22"/>
          <w:szCs w:val="22"/>
        </w:rPr>
        <w:t xml:space="preserve">Compliance &amp; Privacy — Manages Business Associate Agreements (BAAs), ensures alignment with HIPAA and HITECH, and oversees privacy impact assessments for new vendors.</w:t>
      </w:r>
    </w:p>
    <w:p>
      <w:pPr>
        <w:pStyle w:val="ListParagraph"/>
        <w:numPr>
          <w:ilvl w:val="0"/>
          <w:numId w:val="2"/>
        </w:numPr>
        <w:spacing w:after="60" w:before="60"/>
      </w:pPr>
      <w:r>
        <w:rPr>
          <w:rFonts w:ascii="Arial" w:cs="Arial" w:eastAsia="Arial" w:hAnsi="Arial"/>
          <w:color w:val="1A1A1A"/>
          <w:sz w:val="22"/>
          <w:szCs w:val="22"/>
        </w:rPr>
        <w:t xml:space="preserve">Clinical Operations — Defines system criticality for patient care continuity, evaluates vendor impact on patient safety, and manages clinical workflow integrations and uptime SLAs.</w:t>
      </w:r>
    </w:p>
    <w:p>
      <w:pPr>
        <w:pStyle w:val="ListParagraph"/>
        <w:numPr>
          <w:ilvl w:val="0"/>
          <w:numId w:val="2"/>
        </w:numPr>
        <w:spacing w:after="60" w:before="60"/>
      </w:pPr>
      <w:r>
        <w:rPr>
          <w:rFonts w:ascii="Arial" w:cs="Arial" w:eastAsia="Arial" w:hAnsi="Arial"/>
          <w:color w:val="1A1A1A"/>
          <w:sz w:val="22"/>
          <w:szCs w:val="22"/>
        </w:rPr>
        <w:t xml:space="preserve">IT &amp; Biomedical Engineering — Focuses on the security of networked medical devices, manages device patching and network segmentation, and maintains an accurate medical asset and software inventory.</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1.5  Regulatory Framework Alignment</w:t>
      </w:r>
    </w:p>
    <w:p>
      <w:pPr>
        <w:spacing w:after="80" w:before="80" w:line="320"/>
      </w:pPr>
      <w:r>
        <w:rPr>
          <w:rFonts w:ascii="Arial" w:cs="Arial" w:eastAsia="Arial" w:hAnsi="Arial"/>
          <w:b w:val="false"/>
          <w:bCs w:val="false"/>
          <w:i w:val="false"/>
          <w:iCs w:val="false"/>
          <w:color w:val="1A1A1A"/>
          <w:sz w:val="22"/>
          <w:szCs w:val="22"/>
        </w:rPr>
        <w:t xml:space="preserve">A layered defence-in-depth regulatory model was adopted, comprising four interlocking frameworks:</w:t>
      </w:r>
    </w:p>
    <w:p>
      <w:pPr>
        <w:pStyle w:val="ListParagraph"/>
        <w:numPr>
          <w:ilvl w:val="0"/>
          <w:numId w:val="2"/>
        </w:numPr>
        <w:spacing w:after="60" w:before="60"/>
      </w:pPr>
      <w:r>
        <w:rPr>
          <w:rFonts w:ascii="Arial" w:cs="Arial" w:eastAsia="Arial" w:hAnsi="Arial"/>
          <w:color w:val="1A1A1A"/>
          <w:sz w:val="22"/>
          <w:szCs w:val="22"/>
        </w:rPr>
        <w:t xml:space="preserve">HIPAA / HITECH — The federal legal foundation for protecting ePHI. Mandates BAAs and breach notification protocols. JHH requires vendors to report suspected ePHI breaches within 24 hours of discovery.</w:t>
      </w:r>
    </w:p>
    <w:p>
      <w:pPr>
        <w:pStyle w:val="ListParagraph"/>
        <w:numPr>
          <w:ilvl w:val="0"/>
          <w:numId w:val="2"/>
        </w:numPr>
        <w:spacing w:after="60" w:before="60"/>
      </w:pPr>
      <w:r>
        <w:rPr>
          <w:rFonts w:ascii="Arial" w:cs="Arial" w:eastAsia="Arial" w:hAnsi="Arial"/>
          <w:color w:val="1A1A1A"/>
          <w:sz w:val="22"/>
          <w:szCs w:val="22"/>
        </w:rPr>
        <w:t xml:space="preserve">HITRUST CSF — A certifiable framework harmonising HIPAA, NIST, and ISO standards into a single healthcare-specific security baseline.</w:t>
      </w:r>
    </w:p>
    <w:p>
      <w:pPr>
        <w:pStyle w:val="ListParagraph"/>
        <w:numPr>
          <w:ilvl w:val="0"/>
          <w:numId w:val="2"/>
        </w:numPr>
        <w:spacing w:after="60" w:before="60"/>
      </w:pPr>
      <w:r>
        <w:rPr>
          <w:rFonts w:ascii="Arial" w:cs="Arial" w:eastAsia="Arial" w:hAnsi="Arial"/>
          <w:color w:val="1A1A1A"/>
          <w:sz w:val="22"/>
          <w:szCs w:val="22"/>
        </w:rPr>
        <w:t xml:space="preserve">NIST SP 800-53 — The technical catalogue of security and privacy controls used to assess vendor technical safeguards and risk posture.</w:t>
      </w:r>
    </w:p>
    <w:p>
      <w:pPr>
        <w:pStyle w:val="ListParagraph"/>
        <w:numPr>
          <w:ilvl w:val="0"/>
          <w:numId w:val="2"/>
        </w:numPr>
        <w:spacing w:after="60" w:before="60"/>
      </w:pPr>
      <w:r>
        <w:rPr>
          <w:rFonts w:ascii="Arial" w:cs="Arial" w:eastAsia="Arial" w:hAnsi="Arial"/>
          <w:color w:val="1A1A1A"/>
          <w:sz w:val="22"/>
          <w:szCs w:val="22"/>
        </w:rPr>
        <w:t xml:space="preserve">ISO/IEC 27001 — The international standard for Information Security Management Systems (ISMS), focusing on continuous risk management.</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1.6  Week 1 Accomplishments</w:t>
      </w:r>
    </w:p>
    <w:p>
      <w:pPr>
        <w:spacing w:after="80" w:before="80" w:line="320"/>
      </w:pPr>
      <w:r>
        <w:rPr>
          <w:rFonts w:ascii="Arial" w:cs="Arial" w:eastAsia="Arial" w:hAnsi="Arial"/>
          <w:b w:val="false"/>
          <w:bCs w:val="false"/>
          <w:i w:val="false"/>
          <w:iCs w:val="false"/>
          <w:color w:val="1A1A1A"/>
          <w:sz w:val="22"/>
          <w:szCs w:val="22"/>
        </w:rPr>
        <w:t xml:space="preserve">By the conclusion of Week 1, the following foundational deliverables were completed:</w:t>
      </w:r>
    </w:p>
    <w:p>
      <w:pPr>
        <w:pStyle w:val="ListParagraph"/>
        <w:numPr>
          <w:ilvl w:val="0"/>
          <w:numId w:val="2"/>
        </w:numPr>
        <w:spacing w:after="60" w:before="60"/>
      </w:pPr>
      <w:r>
        <w:rPr>
          <w:rFonts w:ascii="Arial" w:cs="Arial" w:eastAsia="Arial" w:hAnsi="Arial"/>
          <w:color w:val="1A1A1A"/>
          <w:sz w:val="22"/>
          <w:szCs w:val="22"/>
        </w:rPr>
        <w:t xml:space="preserve">Strategic Vendor Inventory: Identification and tiering of the top 10 healthcare partners by criticality.</w:t>
      </w:r>
    </w:p>
    <w:p>
      <w:pPr>
        <w:pStyle w:val="ListParagraph"/>
        <w:numPr>
          <w:ilvl w:val="0"/>
          <w:numId w:val="2"/>
        </w:numPr>
        <w:spacing w:after="60" w:before="60"/>
      </w:pPr>
      <w:r>
        <w:rPr>
          <w:rFonts w:ascii="Arial" w:cs="Arial" w:eastAsia="Arial" w:hAnsi="Arial"/>
          <w:color w:val="1A1A1A"/>
          <w:sz w:val="22"/>
          <w:szCs w:val="22"/>
        </w:rPr>
        <w:t xml:space="preserve">Policy Alignment: Mapping of JHH FIN150 and TECH001 requirements to vendor-facing obligations.</w:t>
      </w:r>
    </w:p>
    <w:p>
      <w:pPr>
        <w:pStyle w:val="ListParagraph"/>
        <w:numPr>
          <w:ilvl w:val="0"/>
          <w:numId w:val="2"/>
        </w:numPr>
        <w:spacing w:after="60" w:before="60"/>
      </w:pPr>
      <w:r>
        <w:rPr>
          <w:rFonts w:ascii="Arial" w:cs="Arial" w:eastAsia="Arial" w:hAnsi="Arial"/>
          <w:color w:val="1A1A1A"/>
          <w:sz w:val="22"/>
          <w:szCs w:val="22"/>
        </w:rPr>
        <w:t xml:space="preserve">Regulatory Mapping: Integration of HIPAA, HITRUST, NIST, and ISO standards into the assessment methodology.</w:t>
      </w:r>
    </w:p>
    <w:p>
      <w:pPr>
        <w:pStyle w:val="ListParagraph"/>
        <w:numPr>
          <w:ilvl w:val="0"/>
          <w:numId w:val="2"/>
        </w:numPr>
        <w:spacing w:after="60" w:before="60"/>
      </w:pPr>
      <w:r>
        <w:rPr>
          <w:rFonts w:ascii="Arial" w:cs="Arial" w:eastAsia="Arial" w:hAnsi="Arial"/>
          <w:color w:val="1A1A1A"/>
          <w:sz w:val="22"/>
          <w:szCs w:val="22"/>
        </w:rPr>
        <w:t xml:space="preserve">Stakeholder Framework: Definition of cross-functional roles and responsibilities for TPRM oversight.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Strategic Value: This foundation ensures that Johns Hopkins Hospital can scale its digital operations and research initiatives while maintaining the highest standards of patient safety and data privacy.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val="false"/>
                <w:bCs w:val="false"/>
                <w:color w:val="A8C4E0"/>
                <w:sz w:val="20"/>
                <w:szCs w:val="20"/>
              </w:rPr>
              <w:t xml:space="preserve">WEEK 2</w:t>
            </w:r>
          </w:p>
          <w:p>
            <w:pPr>
              <w:spacing w:after="40" w:before="40"/>
              <w:jc w:val="left"/>
            </w:pPr>
            <w:r>
              <w:rPr>
                <w:rFonts w:ascii="Arial" w:cs="Arial" w:eastAsia="Arial" w:hAnsi="Arial"/>
                <w:b/>
                <w:bCs/>
                <w:color w:val="FFFFFF"/>
                <w:sz w:val="36"/>
                <w:szCs w:val="36"/>
              </w:rPr>
              <w:t xml:space="preserve">TPRM Planning</w:t>
            </w:r>
          </w:p>
          <w:p>
            <w:pPr>
              <w:jc w:val="left"/>
            </w:pPr>
            <w:r>
              <w:rPr>
                <w:rFonts w:ascii="Arial" w:cs="Arial" w:eastAsia="Arial" w:hAnsi="Arial"/>
                <w:i/>
                <w:iCs/>
                <w:color w:val="C8D8EC"/>
                <w:sz w:val="20"/>
                <w:szCs w:val="20"/>
              </w:rPr>
              <w:t xml:space="preserve">Project Charter, Vendor Criticality Matrix &amp; RACI Chart</w:t>
            </w:r>
          </w:p>
        </w:tc>
      </w:tr>
    </w:tbl>
    <w:p>
      <w:pPr>
        <w:spacing w:after="0" w:before="160"/>
      </w:pPr>
      <w:r>
        <w:t xml:space="preserve"/>
      </w:r>
    </w:p>
    <w:p>
      <w:pPr>
        <w:pStyle w:val="Heading2"/>
        <w:spacing w:after="140" w:before="280"/>
      </w:pPr>
      <w:r>
        <w:rPr>
          <w:rFonts w:ascii="Arial" w:cs="Arial" w:eastAsia="Arial" w:hAnsi="Arial"/>
          <w:b/>
          <w:bCs/>
          <w:color w:val="0D7377"/>
          <w:sz w:val="28"/>
          <w:szCs w:val="28"/>
        </w:rPr>
        <w:t xml:space="preserve">2.1  Overview &amp; Objectives</w:t>
      </w:r>
    </w:p>
    <w:p>
      <w:pPr>
        <w:spacing w:after="80" w:before="80" w:line="320"/>
      </w:pPr>
      <w:r>
        <w:rPr>
          <w:rFonts w:ascii="Arial" w:cs="Arial" w:eastAsia="Arial" w:hAnsi="Arial"/>
          <w:b w:val="false"/>
          <w:bCs w:val="false"/>
          <w:i w:val="false"/>
          <w:iCs w:val="false"/>
          <w:color w:val="1A1A1A"/>
          <w:sz w:val="22"/>
          <w:szCs w:val="22"/>
        </w:rPr>
        <w:t xml:space="preserve">Week 2 transitioned the engagement from foundational discovery to formal programme planning. The goal was to establish a robust, standardised, and continuously monitored TPRM framework capable of identifying, assessing, and mitigating third-party risks across all JHH operational domains. Three primary deliverables were targeted: a Project Charter, a Vendor Criticality Matrix, and a RACI Chart.</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2.2  Project Scope Definition</w:t>
      </w:r>
    </w:p>
    <w:p>
      <w:pPr>
        <w:spacing w:after="100" w:before="200"/>
      </w:pPr>
      <w:r>
        <w:rPr>
          <w:rFonts w:ascii="Arial" w:cs="Arial" w:eastAsia="Arial" w:hAnsi="Arial"/>
          <w:b/>
          <w:bCs/>
          <w:color w:val="1B3A6B"/>
          <w:sz w:val="24"/>
          <w:szCs w:val="24"/>
        </w:rPr>
        <w:t xml:space="preserve">In-Scope</w:t>
      </w:r>
    </w:p>
    <w:p>
      <w:pPr>
        <w:pStyle w:val="ListParagraph"/>
        <w:numPr>
          <w:ilvl w:val="0"/>
          <w:numId w:val="2"/>
        </w:numPr>
        <w:spacing w:after="60" w:before="60"/>
      </w:pPr>
      <w:r>
        <w:rPr>
          <w:rFonts w:ascii="Arial" w:cs="Arial" w:eastAsia="Arial" w:hAnsi="Arial"/>
          <w:color w:val="1A1A1A"/>
          <w:sz w:val="22"/>
          <w:szCs w:val="22"/>
        </w:rPr>
        <w:t xml:space="preserve">All third parties accessing JHH systems, networks, facilities, or handling JHH data (including ePHI).</w:t>
      </w:r>
    </w:p>
    <w:p>
      <w:pPr>
        <w:pStyle w:val="ListParagraph"/>
        <w:numPr>
          <w:ilvl w:val="0"/>
          <w:numId w:val="2"/>
        </w:numPr>
        <w:spacing w:after="60" w:before="60"/>
      </w:pPr>
      <w:r>
        <w:rPr>
          <w:rFonts w:ascii="Arial" w:cs="Arial" w:eastAsia="Arial" w:hAnsi="Arial"/>
          <w:color w:val="1A1A1A"/>
          <w:sz w:val="22"/>
          <w:szCs w:val="22"/>
        </w:rPr>
        <w:t xml:space="preserve">Development of a vendor criticality matrix and risk classification methodology.</w:t>
      </w:r>
    </w:p>
    <w:p>
      <w:pPr>
        <w:pStyle w:val="ListParagraph"/>
        <w:numPr>
          <w:ilvl w:val="0"/>
          <w:numId w:val="2"/>
        </w:numPr>
        <w:spacing w:after="60" w:before="60"/>
      </w:pPr>
      <w:r>
        <w:rPr>
          <w:rFonts w:ascii="Arial" w:cs="Arial" w:eastAsia="Arial" w:hAnsi="Arial"/>
          <w:color w:val="1A1A1A"/>
          <w:sz w:val="22"/>
          <w:szCs w:val="22"/>
        </w:rPr>
        <w:t xml:space="preserve">Due diligence processes and ongoing vendor monitoring protocols.</w:t>
      </w:r>
    </w:p>
    <w:p>
      <w:pPr>
        <w:pStyle w:val="ListParagraph"/>
        <w:numPr>
          <w:ilvl w:val="0"/>
          <w:numId w:val="2"/>
        </w:numPr>
        <w:spacing w:after="60" w:before="60"/>
      </w:pPr>
      <w:r>
        <w:rPr>
          <w:rFonts w:ascii="Arial" w:cs="Arial" w:eastAsia="Arial" w:hAnsi="Arial"/>
          <w:color w:val="1A1A1A"/>
          <w:sz w:val="22"/>
          <w:szCs w:val="22"/>
        </w:rPr>
        <w:t xml:space="preserve">Integration with existing GRC functions across the hospital.</w:t>
      </w:r>
    </w:p>
    <w:p>
      <w:pPr>
        <w:spacing w:after="0" w:before="80"/>
      </w:pPr>
      <w:r>
        <w:t xml:space="preserve"/>
      </w:r>
    </w:p>
    <w:p>
      <w:pPr>
        <w:spacing w:after="100" w:before="200"/>
      </w:pPr>
      <w:r>
        <w:rPr>
          <w:rFonts w:ascii="Arial" w:cs="Arial" w:eastAsia="Arial" w:hAnsi="Arial"/>
          <w:b/>
          <w:bCs/>
          <w:color w:val="1B3A6B"/>
          <w:sz w:val="24"/>
          <w:szCs w:val="24"/>
        </w:rPr>
        <w:t xml:space="preserve">Out-of-Scope</w:t>
      </w:r>
    </w:p>
    <w:p>
      <w:pPr>
        <w:pStyle w:val="ListParagraph"/>
        <w:numPr>
          <w:ilvl w:val="0"/>
          <w:numId w:val="2"/>
        </w:numPr>
        <w:spacing w:after="60" w:before="60"/>
      </w:pPr>
      <w:r>
        <w:rPr>
          <w:rFonts w:ascii="Arial" w:cs="Arial" w:eastAsia="Arial" w:hAnsi="Arial"/>
          <w:color w:val="1A1A1A"/>
          <w:sz w:val="22"/>
          <w:szCs w:val="22"/>
        </w:rPr>
        <w:t xml:space="preserve">Internal JHH operational risks not related to third parties.</w:t>
      </w:r>
    </w:p>
    <w:p>
      <w:pPr>
        <w:pStyle w:val="ListParagraph"/>
        <w:numPr>
          <w:ilvl w:val="0"/>
          <w:numId w:val="2"/>
        </w:numPr>
        <w:spacing w:after="60" w:before="60"/>
      </w:pPr>
      <w:r>
        <w:rPr>
          <w:rFonts w:ascii="Arial" w:cs="Arial" w:eastAsia="Arial" w:hAnsi="Arial"/>
          <w:color w:val="1A1A1A"/>
          <w:sz w:val="22"/>
          <w:szCs w:val="22"/>
        </w:rPr>
        <w:t xml:space="preserve">Procurement and contract negotiation activities (TPRM provides strategic input only).</w:t>
      </w:r>
    </w:p>
    <w:p>
      <w:pPr>
        <w:pStyle w:val="ListParagraph"/>
        <w:numPr>
          <w:ilvl w:val="0"/>
          <w:numId w:val="2"/>
        </w:numPr>
        <w:spacing w:after="60" w:before="60"/>
      </w:pPr>
      <w:r>
        <w:rPr>
          <w:rFonts w:ascii="Arial" w:cs="Arial" w:eastAsia="Arial" w:hAnsi="Arial"/>
          <w:color w:val="1A1A1A"/>
          <w:sz w:val="22"/>
          <w:szCs w:val="22"/>
        </w:rPr>
        <w:t xml:space="preserve">Direct post-contract vendor relationship management (TPRM monitors performance and compliance).</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2.3  Key Programme Objectives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Objective</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Standardise Assessments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Implement consistent vendor risk evaluation across all JHH departments and service lines.</w:t>
            </w:r>
          </w:p>
        </w:tc>
      </w:tr>
      <w:tr>
        <w:tc>
          <w:tcPr>
            <w:tcW w:type="dxa" w:w="1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02</w:t>
            </w:r>
          </w:p>
        </w:tc>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Regulatory Compliance</w:t>
            </w:r>
          </w:p>
        </w:tc>
        <w:tc>
          <w:tcPr>
            <w:tcW w:type="dxa" w:w="59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Achieve and maintain compliance with HIPAA, HITECH, HITRUST, NIST SP 800-53, and ISO 27001.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03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Enhance Data Protection</w:t>
            </w:r>
          </w:p>
        </w:tc>
        <w:tc>
          <w:tcPr>
            <w:tcW w:type="dxa" w:w="5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Strengthen controls for ePHI and other sensitive data handled by third-party vendors.</w:t>
            </w:r>
          </w:p>
        </w:tc>
      </w:tr>
      <w:tr>
        <w:tc>
          <w:tcPr>
            <w:tcW w:type="dxa" w:w="1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04</w:t>
            </w:r>
          </w:p>
        </w:tc>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Improve Resilience</w:t>
            </w:r>
          </w:p>
        </w:tc>
        <w:tc>
          <w:tcPr>
            <w:tcW w:type="dxa" w:w="59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Minimise vendor-induced disruptions to clinical and administrative functions.</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2.4  Vendor Classification Framework</w:t>
      </w:r>
    </w:p>
    <w:p>
      <w:pPr>
        <w:spacing w:after="80" w:before="80" w:line="320"/>
      </w:pPr>
      <w:r>
        <w:rPr>
          <w:rFonts w:ascii="Arial" w:cs="Arial" w:eastAsia="Arial" w:hAnsi="Arial"/>
          <w:b w:val="false"/>
          <w:bCs w:val="false"/>
          <w:i w:val="false"/>
          <w:iCs w:val="false"/>
          <w:color w:val="1A1A1A"/>
          <w:sz w:val="22"/>
          <w:szCs w:val="22"/>
        </w:rPr>
        <w:t xml:space="preserve">Vendors were classified into three risk tiers based on their data access profiles and clinical impact:</w:t>
      </w:r>
    </w:p>
    <w:p>
      <w:pPr>
        <w:pStyle w:val="ListParagraph"/>
        <w:numPr>
          <w:ilvl w:val="0"/>
          <w:numId w:val="2"/>
        </w:numPr>
        <w:spacing w:after="60" w:before="60"/>
      </w:pPr>
      <w:r>
        <w:rPr>
          <w:rFonts w:ascii="Arial" w:cs="Arial" w:eastAsia="Arial" w:hAnsi="Arial"/>
          <w:color w:val="1A1A1A"/>
          <w:sz w:val="22"/>
          <w:szCs w:val="22"/>
        </w:rPr>
        <w:t xml:space="preserve">High Risk — EHR systems, cloud hosting providers, and billing/revenue cycle vendors that are critical for patient care and handle ePHI directly.</w:t>
      </w:r>
    </w:p>
    <w:p>
      <w:pPr>
        <w:pStyle w:val="ListParagraph"/>
        <w:numPr>
          <w:ilvl w:val="0"/>
          <w:numId w:val="2"/>
        </w:numPr>
        <w:spacing w:after="60" w:before="60"/>
      </w:pPr>
      <w:r>
        <w:rPr>
          <w:rFonts w:ascii="Arial" w:cs="Arial" w:eastAsia="Arial" w:hAnsi="Arial"/>
          <w:color w:val="1A1A1A"/>
          <w:sz w:val="22"/>
          <w:szCs w:val="22"/>
        </w:rPr>
        <w:t xml:space="preserve">Medium Risk — Medical devices, laboratory vendors, and analytics platforms that interact with clinical workflows and patient data.</w:t>
      </w:r>
    </w:p>
    <w:p>
      <w:pPr>
        <w:pStyle w:val="ListParagraph"/>
        <w:numPr>
          <w:ilvl w:val="0"/>
          <w:numId w:val="2"/>
        </w:numPr>
        <w:spacing w:after="60" w:before="60"/>
      </w:pPr>
      <w:r>
        <w:rPr>
          <w:rFonts w:ascii="Arial" w:cs="Arial" w:eastAsia="Arial" w:hAnsi="Arial"/>
          <w:color w:val="1A1A1A"/>
          <w:sz w:val="22"/>
          <w:szCs w:val="22"/>
        </w:rPr>
        <w:t xml:space="preserve">Low Risk — Facilities management vendors and non-IT service providers with limited or no access to hospital data systems.</w:t>
      </w:r>
    </w:p>
    <w:p>
      <w:pPr>
        <w:spacing w:after="0" w:before="80"/>
      </w:pPr>
      <w:r>
        <w:t xml:space="preserve"/>
      </w:r>
    </w:p>
    <w:p>
      <w:pPr>
        <w:spacing w:after="100" w:before="200"/>
      </w:pPr>
      <w:r>
        <w:rPr>
          <w:rFonts w:ascii="Arial" w:cs="Arial" w:eastAsia="Arial" w:hAnsi="Arial"/>
          <w:b/>
          <w:bCs/>
          <w:color w:val="1B3A6B"/>
          <w:sz w:val="24"/>
          <w:szCs w:val="24"/>
        </w:rPr>
        <w:t xml:space="preserve">Framework Mapping Rules</w:t>
      </w:r>
    </w:p>
    <w:p>
      <w:pPr>
        <w:pStyle w:val="ListParagraph"/>
        <w:numPr>
          <w:ilvl w:val="0"/>
          <w:numId w:val="2"/>
        </w:numPr>
        <w:spacing w:after="60" w:before="60"/>
      </w:pPr>
      <w:r>
        <w:rPr>
          <w:rFonts w:ascii="Arial" w:cs="Arial" w:eastAsia="Arial" w:hAnsi="Arial"/>
          <w:color w:val="1A1A1A"/>
          <w:sz w:val="22"/>
          <w:szCs w:val="22"/>
        </w:rPr>
        <w:t xml:space="preserve">HIPAA applies to all vendors handling ePHI.</w:t>
      </w:r>
    </w:p>
    <w:p>
      <w:pPr>
        <w:pStyle w:val="ListParagraph"/>
        <w:numPr>
          <w:ilvl w:val="0"/>
          <w:numId w:val="2"/>
        </w:numPr>
        <w:spacing w:after="60" w:before="60"/>
      </w:pPr>
      <w:r>
        <w:rPr>
          <w:rFonts w:ascii="Arial" w:cs="Arial" w:eastAsia="Arial" w:hAnsi="Arial"/>
          <w:color w:val="1A1A1A"/>
          <w:sz w:val="22"/>
          <w:szCs w:val="22"/>
        </w:rPr>
        <w:t xml:space="preserve">HITRUST applies to cloud infrastructure and EHR vendors.</w:t>
      </w:r>
    </w:p>
    <w:p>
      <w:pPr>
        <w:pStyle w:val="ListParagraph"/>
        <w:numPr>
          <w:ilvl w:val="0"/>
          <w:numId w:val="2"/>
        </w:numPr>
        <w:spacing w:after="60" w:before="60"/>
      </w:pPr>
      <w:r>
        <w:rPr>
          <w:rFonts w:ascii="Arial" w:cs="Arial" w:eastAsia="Arial" w:hAnsi="Arial"/>
          <w:color w:val="1A1A1A"/>
          <w:sz w:val="22"/>
          <w:szCs w:val="22"/>
        </w:rPr>
        <w:t xml:space="preserve">NIST SP 800-53 and ISO 27001 apply to infrastructure and SaaS vendors.</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2.5  RACI Chart — Roles &amp; Responsibilities</w:t>
      </w:r>
    </w:p>
    <w:p>
      <w:pPr>
        <w:spacing w:after="80" w:before="80" w:line="320"/>
      </w:pPr>
      <w:r>
        <w:rPr>
          <w:rFonts w:ascii="Arial" w:cs="Arial" w:eastAsia="Arial" w:hAnsi="Arial"/>
          <w:b w:val="false"/>
          <w:bCs w:val="false"/>
          <w:i w:val="false"/>
          <w:iCs w:val="false"/>
          <w:color w:val="1A1A1A"/>
          <w:sz w:val="22"/>
          <w:szCs w:val="22"/>
        </w:rPr>
        <w:t xml:space="preserve">A RACI (Responsible, Accountable, Consulted, Informed) model was developed to clarify ownership of each TPRM activity: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1490"/>
        <w:gridCol w:w="1490"/>
      </w:tblGrid>
      <w:tr>
        <w:trPr>
          <w:tblHeader/>
        </w:trPr>
        <w:tc>
          <w:tcPr>
            <w:tcW w:type="dxa" w:w="3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w:t>
            </w:r>
          </w:p>
        </w:tc>
        <w:tc>
          <w:tcPr>
            <w:tcW w:type="dxa" w:w="149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GRC / Compliance</w:t>
            </w:r>
          </w:p>
        </w:tc>
        <w:tc>
          <w:tcPr>
            <w:tcW w:type="dxa" w:w="149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IT / InfoSec</w:t>
            </w:r>
          </w:p>
        </w:tc>
        <w:tc>
          <w:tcPr>
            <w:tcW w:type="dxa" w:w="149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Ops</w:t>
            </w:r>
          </w:p>
        </w:tc>
        <w:tc>
          <w:tcPr>
            <w:tcW w:type="dxa" w:w="149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Procurement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Define TPRM Policy &amp; Procedures</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w:t>
            </w:r>
          </w:p>
        </w:tc>
      </w:tr>
      <w:tr>
        <w:tc>
          <w:tcPr>
            <w:tcW w:type="dxa" w:w="3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Vendor Classification &amp; Tiers</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I</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Vendor Risk Assessment Execution</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w:t>
            </w:r>
          </w:p>
        </w:tc>
      </w:tr>
      <w:tr>
        <w:tc>
          <w:tcPr>
            <w:tcW w:type="dxa" w:w="3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Business Associate Agreement Review</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I</w:t>
            </w:r>
          </w:p>
        </w:tc>
        <w:tc>
          <w:tcPr>
            <w:tcW w:type="dxa" w:w="149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Ongoing Vendor Monitoring</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w:t>
            </w:r>
          </w:p>
        </w:tc>
        <w:tc>
          <w:tcPr>
            <w:tcW w:type="dxa" w:w="149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w:t>
            </w:r>
          </w:p>
        </w:tc>
      </w:tr>
    </w:tbl>
    <w:p>
      <w:pPr>
        <w:spacing w:after="0" w:before="80"/>
      </w:pPr>
      <w:r>
        <w:t xml:space="preserve"/>
      </w:r>
    </w:p>
    <w:p>
      <w:pPr>
        <w:spacing w:after="80" w:before="80" w:line="320"/>
      </w:pPr>
      <w:r>
        <w:rPr>
          <w:rFonts w:ascii="Arial" w:cs="Arial" w:eastAsia="Arial" w:hAnsi="Arial"/>
          <w:b w:val="false"/>
          <w:bCs w:val="false"/>
          <w:i/>
          <w:iCs/>
          <w:color w:val="555555"/>
          <w:sz w:val="19"/>
          <w:szCs w:val="19"/>
        </w:rPr>
        <w:t xml:space="preserve">R = Responsible  |  A = Accountable  |  C = Consulted  |  I = Informed</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2.6  Approvals &amp; Governance Signatories</w:t>
      </w:r>
    </w:p>
    <w:p>
      <w:pPr>
        <w:spacing w:after="80" w:before="80" w:line="320"/>
      </w:pPr>
      <w:r>
        <w:rPr>
          <w:rFonts w:ascii="Arial" w:cs="Arial" w:eastAsia="Arial" w:hAnsi="Arial"/>
          <w:b w:val="false"/>
          <w:bCs w:val="false"/>
          <w:i w:val="false"/>
          <w:iCs w:val="false"/>
          <w:color w:val="1A1A1A"/>
          <w:sz w:val="22"/>
          <w:szCs w:val="22"/>
        </w:rPr>
        <w:t xml:space="preserve">The Project Charter was formalised with commitment signatures from the following hospital leadership stakeholders:</w:t>
      </w:r>
    </w:p>
    <w:p>
      <w:pPr>
        <w:pStyle w:val="ListParagraph"/>
        <w:numPr>
          <w:ilvl w:val="0"/>
          <w:numId w:val="2"/>
        </w:numPr>
        <w:spacing w:after="60" w:before="60"/>
      </w:pPr>
      <w:r>
        <w:rPr>
          <w:rFonts w:ascii="Arial" w:cs="Arial" w:eastAsia="Arial" w:hAnsi="Arial"/>
          <w:color w:val="1A1A1A"/>
          <w:sz w:val="22"/>
          <w:szCs w:val="22"/>
        </w:rPr>
        <w:t xml:space="preserve">Chief Information Security Officer (CISO)</w:t>
      </w:r>
    </w:p>
    <w:p>
      <w:pPr>
        <w:pStyle w:val="ListParagraph"/>
        <w:numPr>
          <w:ilvl w:val="0"/>
          <w:numId w:val="2"/>
        </w:numPr>
        <w:spacing w:after="60" w:before="60"/>
      </w:pPr>
      <w:r>
        <w:rPr>
          <w:rFonts w:ascii="Arial" w:cs="Arial" w:eastAsia="Arial" w:hAnsi="Arial"/>
          <w:color w:val="1A1A1A"/>
          <w:sz w:val="22"/>
          <w:szCs w:val="22"/>
        </w:rPr>
        <w:t xml:space="preserve">Chief Compliance Officer (CCO)</w:t>
      </w:r>
    </w:p>
    <w:p>
      <w:pPr>
        <w:pStyle w:val="ListParagraph"/>
        <w:numPr>
          <w:ilvl w:val="0"/>
          <w:numId w:val="2"/>
        </w:numPr>
        <w:spacing w:after="60" w:before="60"/>
      </w:pPr>
      <w:r>
        <w:rPr>
          <w:rFonts w:ascii="Arial" w:cs="Arial" w:eastAsia="Arial" w:hAnsi="Arial"/>
          <w:color w:val="1A1A1A"/>
          <w:sz w:val="22"/>
          <w:szCs w:val="22"/>
        </w:rPr>
        <w:t xml:space="preserve">Chief Medical Officer (CMO)</w:t>
      </w:r>
    </w:p>
    <w:p>
      <w:pPr>
        <w:pStyle w:val="ListParagraph"/>
        <w:numPr>
          <w:ilvl w:val="0"/>
          <w:numId w:val="2"/>
        </w:numPr>
        <w:spacing w:after="60" w:before="60"/>
      </w:pPr>
      <w:r>
        <w:rPr>
          <w:rFonts w:ascii="Arial" w:cs="Arial" w:eastAsia="Arial" w:hAnsi="Arial"/>
          <w:color w:val="1A1A1A"/>
          <w:sz w:val="22"/>
          <w:szCs w:val="22"/>
        </w:rPr>
        <w:t xml:space="preserve">Chief Financial Officer (CFO)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This concise Week 2 planning package positioned JHH to begin formal risk assessments and due diligence activities in Week 3, with clear ownership, scope boundaries, and regulatory alignment.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val="false"/>
                <w:bCs w:val="false"/>
                <w:color w:val="A8C4E0"/>
                <w:sz w:val="20"/>
                <w:szCs w:val="20"/>
              </w:rPr>
              <w:t xml:space="preserve">WEEK 3</w:t>
            </w:r>
          </w:p>
          <w:p>
            <w:pPr>
              <w:spacing w:after="40" w:before="40"/>
              <w:jc w:val="left"/>
            </w:pPr>
            <w:r>
              <w:rPr>
                <w:rFonts w:ascii="Arial" w:cs="Arial" w:eastAsia="Arial" w:hAnsi="Arial"/>
                <w:b/>
                <w:bCs/>
                <w:color w:val="FFFFFF"/>
                <w:sz w:val="36"/>
                <w:szCs w:val="36"/>
              </w:rPr>
              <w:t xml:space="preserve">Vendor Due Diligence</w:t>
            </w:r>
          </w:p>
          <w:p>
            <w:pPr>
              <w:jc w:val="left"/>
            </w:pPr>
            <w:r>
              <w:rPr>
                <w:rFonts w:ascii="Arial" w:cs="Arial" w:eastAsia="Arial" w:hAnsi="Arial"/>
                <w:i/>
                <w:iCs/>
                <w:color w:val="C8D8EC"/>
                <w:sz w:val="20"/>
                <w:szCs w:val="20"/>
              </w:rPr>
              <w:t xml:space="preserve">Healthcare-specific vendor risk assessments — ePHI exposure, clinical impact, and compliance posture</w:t>
            </w:r>
          </w:p>
        </w:tc>
      </w:tr>
    </w:tbl>
    <w:p>
      <w:pPr>
        <w:spacing w:after="0" w:before="160"/>
      </w:pPr>
      <w:r>
        <w:t xml:space="preserve"/>
      </w:r>
    </w:p>
    <w:p>
      <w:pPr>
        <w:pStyle w:val="Heading2"/>
        <w:spacing w:after="140" w:before="280"/>
      </w:pPr>
      <w:r>
        <w:rPr>
          <w:rFonts w:ascii="Arial" w:cs="Arial" w:eastAsia="Arial" w:hAnsi="Arial"/>
          <w:b/>
          <w:bCs/>
          <w:color w:val="0D7377"/>
          <w:sz w:val="28"/>
          <w:szCs w:val="28"/>
        </w:rPr>
        <w:t xml:space="preserve">3.1  Overview &amp; Objectives</w:t>
      </w:r>
    </w:p>
    <w:p>
      <w:pPr>
        <w:spacing w:after="80" w:before="80" w:line="320"/>
      </w:pPr>
      <w:r>
        <w:rPr>
          <w:rFonts w:ascii="Arial" w:cs="Arial" w:eastAsia="Arial" w:hAnsi="Arial"/>
          <w:b w:val="false"/>
          <w:bCs w:val="false"/>
          <w:i w:val="false"/>
          <w:iCs w:val="false"/>
          <w:color w:val="1A1A1A"/>
          <w:sz w:val="22"/>
          <w:szCs w:val="22"/>
        </w:rPr>
        <w:t xml:space="preserve">Week 3 bridged policy into practice — moving from framework design to hands-on vendor interrogation using healthcare regulatory standards as the benchmark. The week pursued three sequential workstreams: assessing vendors through a structured questionnaire, reviewing and validating evidence artefacts, and producing composite risk scores and rankings.</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3.2  Healthcare Vendor Questionnaire</w:t>
      </w:r>
    </w:p>
    <w:p>
      <w:pPr>
        <w:spacing w:after="80" w:before="80" w:line="320"/>
      </w:pPr>
      <w:r>
        <w:rPr>
          <w:rFonts w:ascii="Arial" w:cs="Arial" w:eastAsia="Arial" w:hAnsi="Arial"/>
          <w:b w:val="false"/>
          <w:bCs w:val="false"/>
          <w:i w:val="false"/>
          <w:iCs w:val="false"/>
          <w:color w:val="1A1A1A"/>
          <w:sz w:val="22"/>
          <w:szCs w:val="22"/>
        </w:rPr>
        <w:t xml:space="preserve">A structured questionnaire was developed to ensure every vendor was evaluated against the same clinical and regulatory baseline. The questionnaire covered five core domains: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w:t>
            </w:r>
          </w:p>
        </w:tc>
        <w:tc>
          <w:tcPr>
            <w:tcW w:type="dxa" w:w="68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Was Assessed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HIPAA Safeguards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Administrative, physical, and technical controls aligned to the HIPAA Security Rule.</w:t>
            </w:r>
          </w:p>
        </w:tc>
      </w:tr>
      <w:tr>
        <w:tc>
          <w:tcPr>
            <w:tcW w:type="dxa" w:w="2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ePHI Encryption</w:t>
            </w:r>
          </w:p>
        </w:tc>
        <w:tc>
          <w:tcPr>
            <w:tcW w:type="dxa" w:w="68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Data-at-rest and in-transit encryption standards; key management practices.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Incident Response &amp; Breach Notification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Breach detection timelines, HIPAA 60-day notification compliance, and escalation procedures.</w:t>
            </w:r>
          </w:p>
        </w:tc>
      </w:tr>
      <w:tr>
        <w:tc>
          <w:tcPr>
            <w:tcW w:type="dxa" w:w="25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Access Controls &amp; MFA</w:t>
            </w:r>
          </w:p>
        </w:tc>
        <w:tc>
          <w:tcPr>
            <w:tcW w:type="dxa" w:w="68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Role-based access, least privilege enforcement, and multi-factor authentication.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Medical Device Security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Network segmentation, firmware patching cadence, and FDA cybersecurity guidance alignment.</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3.3  Simulated Vendor Responses</w:t>
      </w:r>
    </w:p>
    <w:p>
      <w:pPr>
        <w:spacing w:after="80" w:before="80" w:line="320"/>
      </w:pPr>
      <w:r>
        <w:rPr>
          <w:rFonts w:ascii="Arial" w:cs="Arial" w:eastAsia="Arial" w:hAnsi="Arial"/>
          <w:b w:val="false"/>
          <w:bCs w:val="false"/>
          <w:i w:val="false"/>
          <w:iCs w:val="false"/>
          <w:color w:val="1A1A1A"/>
          <w:sz w:val="22"/>
          <w:szCs w:val="22"/>
        </w:rPr>
        <w:t xml:space="preserve">Three representative vendor archetypes were evaluated to reflect common hospital hosting and service scenarios:</w:t>
      </w:r>
    </w:p>
    <w:p>
      <w:pPr>
        <w:spacing w:after="0" w:before="80"/>
      </w:pPr>
      <w:r>
        <w:t xml:space="preserve"/>
      </w:r>
    </w:p>
    <w:p>
      <w:pPr>
        <w:spacing w:after="100" w:before="200"/>
      </w:pPr>
      <w:r>
        <w:rPr>
          <w:rFonts w:ascii="Arial" w:cs="Arial" w:eastAsia="Arial" w:hAnsi="Arial"/>
          <w:b/>
          <w:bCs/>
          <w:color w:val="1B3A6B"/>
          <w:sz w:val="24"/>
          <w:szCs w:val="24"/>
        </w:rPr>
        <w:t xml:space="preserve">Cloud Hosting Vendor</w:t>
      </w:r>
    </w:p>
    <w:p>
      <w:pPr>
        <w:pStyle w:val="ListParagraph"/>
        <w:numPr>
          <w:ilvl w:val="0"/>
          <w:numId w:val="2"/>
        </w:numPr>
        <w:spacing w:after="60" w:before="60"/>
      </w:pPr>
      <w:r>
        <w:rPr>
          <w:rFonts w:ascii="Arial" w:cs="Arial" w:eastAsia="Arial" w:hAnsi="Arial"/>
          <w:color w:val="1A1A1A"/>
          <w:sz w:val="22"/>
          <w:szCs w:val="22"/>
        </w:rPr>
        <w:t xml:space="preserve">Operating on an AWS GovCloud environment; SOC 2 Type II certified.</w:t>
      </w:r>
    </w:p>
    <w:p>
      <w:pPr>
        <w:pStyle w:val="ListParagraph"/>
        <w:numPr>
          <w:ilvl w:val="0"/>
          <w:numId w:val="2"/>
        </w:numPr>
        <w:spacing w:after="60" w:before="60"/>
      </w:pPr>
      <w:r>
        <w:rPr>
          <w:rFonts w:ascii="Arial" w:cs="Arial" w:eastAsia="Arial" w:hAnsi="Arial"/>
          <w:color w:val="1A1A1A"/>
          <w:sz w:val="22"/>
          <w:szCs w:val="22"/>
        </w:rPr>
        <w:t xml:space="preserve">Encryption at rest (AES-256) and in transit (TLS 1.3) confirmed.</w:t>
      </w:r>
    </w:p>
    <w:p>
      <w:pPr>
        <w:pStyle w:val="ListParagraph"/>
        <w:numPr>
          <w:ilvl w:val="0"/>
          <w:numId w:val="2"/>
        </w:numPr>
        <w:spacing w:after="60" w:before="60"/>
      </w:pPr>
      <w:r>
        <w:rPr>
          <w:rFonts w:ascii="Arial" w:cs="Arial" w:eastAsia="Arial" w:hAnsi="Arial"/>
          <w:color w:val="1A1A1A"/>
          <w:sz w:val="22"/>
          <w:szCs w:val="22"/>
        </w:rPr>
        <w:t xml:space="preserve">MFA enforced; Business Associate Agreement (BAA) executed.</w:t>
      </w:r>
    </w:p>
    <w:p>
      <w:pPr>
        <w:pStyle w:val="ListParagraph"/>
        <w:numPr>
          <w:ilvl w:val="0"/>
          <w:numId w:val="2"/>
        </w:numPr>
        <w:spacing w:after="60" w:before="60"/>
      </w:pPr>
      <w:r>
        <w:rPr>
          <w:rFonts w:ascii="Arial" w:cs="Arial" w:eastAsia="Arial" w:hAnsi="Arial"/>
          <w:color w:val="1A1A1A"/>
          <w:sz w:val="22"/>
          <w:szCs w:val="22"/>
        </w:rPr>
        <w:t xml:space="preserve">Minor gap identified: patch notification SLA not contractually defined.</w:t>
      </w:r>
    </w:p>
    <w:p>
      <w:pPr>
        <w:spacing w:after="0" w:before="80"/>
      </w:pPr>
      <w:r>
        <w:t xml:space="preserve"/>
      </w:r>
    </w:p>
    <w:p>
      <w:pPr>
        <w:spacing w:after="100" w:before="200"/>
      </w:pPr>
      <w:r>
        <w:rPr>
          <w:rFonts w:ascii="Arial" w:cs="Arial" w:eastAsia="Arial" w:hAnsi="Arial"/>
          <w:b/>
          <w:bCs/>
          <w:color w:val="1B3A6B"/>
          <w:sz w:val="24"/>
          <w:szCs w:val="24"/>
        </w:rPr>
        <w:t xml:space="preserve">Medical Device Manufacturer</w:t>
      </w:r>
    </w:p>
    <w:p>
      <w:pPr>
        <w:pStyle w:val="ListParagraph"/>
        <w:numPr>
          <w:ilvl w:val="0"/>
          <w:numId w:val="2"/>
        </w:numPr>
        <w:spacing w:after="60" w:before="60"/>
      </w:pPr>
      <w:r>
        <w:rPr>
          <w:rFonts w:ascii="Arial" w:cs="Arial" w:eastAsia="Arial" w:hAnsi="Arial"/>
          <w:color w:val="1A1A1A"/>
          <w:sz w:val="22"/>
          <w:szCs w:val="22"/>
        </w:rPr>
        <w:t xml:space="preserve">FDA 510(k) cleared device; no HITRUST certification.</w:t>
      </w:r>
    </w:p>
    <w:p>
      <w:pPr>
        <w:pStyle w:val="ListParagraph"/>
        <w:numPr>
          <w:ilvl w:val="0"/>
          <w:numId w:val="2"/>
        </w:numPr>
        <w:spacing w:after="60" w:before="60"/>
      </w:pPr>
      <w:r>
        <w:rPr>
          <w:rFonts w:ascii="Arial" w:cs="Arial" w:eastAsia="Arial" w:hAnsi="Arial"/>
          <w:color w:val="1A1A1A"/>
          <w:sz w:val="22"/>
          <w:szCs w:val="22"/>
        </w:rPr>
        <w:t xml:space="preserve">Firmware updates require manual coordination — no automated patch management.</w:t>
      </w:r>
    </w:p>
    <w:p>
      <w:pPr>
        <w:pStyle w:val="ListParagraph"/>
        <w:numPr>
          <w:ilvl w:val="0"/>
          <w:numId w:val="2"/>
        </w:numPr>
        <w:spacing w:after="60" w:before="60"/>
      </w:pPr>
      <w:r>
        <w:rPr>
          <w:rFonts w:ascii="Arial" w:cs="Arial" w:eastAsia="Arial" w:hAnsi="Arial"/>
          <w:color w:val="1A1A1A"/>
          <w:sz w:val="22"/>
          <w:szCs w:val="22"/>
        </w:rPr>
        <w:t xml:space="preserve">Limited network segmentation documentation provided.</w:t>
      </w:r>
    </w:p>
    <w:p>
      <w:pPr>
        <w:pStyle w:val="ListParagraph"/>
        <w:numPr>
          <w:ilvl w:val="0"/>
          <w:numId w:val="2"/>
        </w:numPr>
        <w:spacing w:after="60" w:before="60"/>
      </w:pPr>
      <w:r>
        <w:rPr>
          <w:rFonts w:ascii="Arial" w:cs="Arial" w:eastAsia="Arial" w:hAnsi="Arial"/>
          <w:color w:val="1A1A1A"/>
          <w:sz w:val="22"/>
          <w:szCs w:val="22"/>
        </w:rPr>
        <w:t xml:space="preserve">BAA declined — vendor disputes whether ePHI falls within their operational scope. This constitutes a critical regulatory exposure.</w:t>
      </w:r>
    </w:p>
    <w:p>
      <w:pPr>
        <w:spacing w:after="0" w:before="80"/>
      </w:pPr>
      <w:r>
        <w:t xml:space="preserve"/>
      </w:r>
    </w:p>
    <w:p>
      <w:pPr>
        <w:spacing w:after="100" w:before="200"/>
      </w:pPr>
      <w:r>
        <w:rPr>
          <w:rFonts w:ascii="Arial" w:cs="Arial" w:eastAsia="Arial" w:hAnsi="Arial"/>
          <w:b/>
          <w:bCs/>
          <w:color w:val="1B3A6B"/>
          <w:sz w:val="24"/>
          <w:szCs w:val="24"/>
        </w:rPr>
        <w:t xml:space="preserve">Billing &amp; Revenue Cycle Vendor</w:t>
      </w:r>
    </w:p>
    <w:p>
      <w:pPr>
        <w:pStyle w:val="ListParagraph"/>
        <w:numPr>
          <w:ilvl w:val="0"/>
          <w:numId w:val="2"/>
        </w:numPr>
        <w:spacing w:after="60" w:before="60"/>
      </w:pPr>
      <w:r>
        <w:rPr>
          <w:rFonts w:ascii="Arial" w:cs="Arial" w:eastAsia="Arial" w:hAnsi="Arial"/>
          <w:color w:val="1A1A1A"/>
          <w:sz w:val="22"/>
          <w:szCs w:val="22"/>
        </w:rPr>
        <w:t xml:space="preserve">Processes ePHI for claims submission; HITRUST CSF certified.</w:t>
      </w:r>
    </w:p>
    <w:p>
      <w:pPr>
        <w:pStyle w:val="ListParagraph"/>
        <w:numPr>
          <w:ilvl w:val="0"/>
          <w:numId w:val="2"/>
        </w:numPr>
        <w:spacing w:after="60" w:before="60"/>
      </w:pPr>
      <w:r>
        <w:rPr>
          <w:rFonts w:ascii="Arial" w:cs="Arial" w:eastAsia="Arial" w:hAnsi="Arial"/>
          <w:color w:val="1A1A1A"/>
          <w:sz w:val="22"/>
          <w:szCs w:val="22"/>
        </w:rPr>
        <w:t xml:space="preserve">BAA in place; MFA enforced for portal access.</w:t>
      </w:r>
    </w:p>
    <w:p>
      <w:pPr>
        <w:pStyle w:val="ListParagraph"/>
        <w:numPr>
          <w:ilvl w:val="0"/>
          <w:numId w:val="2"/>
        </w:numPr>
        <w:spacing w:after="60" w:before="60"/>
      </w:pPr>
      <w:r>
        <w:rPr>
          <w:rFonts w:ascii="Arial" w:cs="Arial" w:eastAsia="Arial" w:hAnsi="Arial"/>
          <w:color w:val="1A1A1A"/>
          <w:sz w:val="22"/>
          <w:szCs w:val="22"/>
        </w:rPr>
        <w:t xml:space="preserve">SOC 2 Type II report available; incident response plan tested annually.</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3.4  Evidence Review Framework</w:t>
      </w:r>
    </w:p>
    <w:p>
      <w:pPr>
        <w:spacing w:after="80" w:before="80" w:line="320"/>
      </w:pPr>
      <w:r>
        <w:rPr>
          <w:rFonts w:ascii="Arial" w:cs="Arial" w:eastAsia="Arial" w:hAnsi="Arial"/>
          <w:b w:val="false"/>
          <w:bCs w:val="false"/>
          <w:i w:val="false"/>
          <w:iCs w:val="false"/>
          <w:color w:val="1A1A1A"/>
          <w:sz w:val="22"/>
          <w:szCs w:val="22"/>
        </w:rPr>
        <w:t xml:space="preserve">A structured evidence review framework was applied to all vendor submissions. Key review criteria included:</w:t>
      </w:r>
    </w:p>
    <w:p>
      <w:pPr>
        <w:pStyle w:val="ListParagraph"/>
        <w:numPr>
          <w:ilvl w:val="0"/>
          <w:numId w:val="2"/>
        </w:numPr>
        <w:spacing w:after="60" w:before="60"/>
      </w:pPr>
      <w:r>
        <w:rPr>
          <w:rFonts w:ascii="Arial" w:cs="Arial" w:eastAsia="Arial" w:hAnsi="Arial"/>
          <w:color w:val="1A1A1A"/>
          <w:sz w:val="22"/>
          <w:szCs w:val="22"/>
        </w:rPr>
        <w:t xml:space="preserve">SOC 2 Type II: Must cover a minimum 6-month audit period. Point-in-time reports were deemed insufficient.</w:t>
      </w:r>
    </w:p>
    <w:p>
      <w:pPr>
        <w:pStyle w:val="ListParagraph"/>
        <w:numPr>
          <w:ilvl w:val="0"/>
          <w:numId w:val="2"/>
        </w:numPr>
        <w:spacing w:after="60" w:before="60"/>
      </w:pPr>
      <w:r>
        <w:rPr>
          <w:rFonts w:ascii="Arial" w:cs="Arial" w:eastAsia="Arial" w:hAnsi="Arial"/>
          <w:color w:val="1A1A1A"/>
          <w:sz w:val="22"/>
          <w:szCs w:val="22"/>
        </w:rPr>
        <w:t xml:space="preserve">HITRUST: Certification scope was validated — reviewers confirmed whether the certification covered the specific systems handling JHH ePHI.</w:t>
      </w:r>
    </w:p>
    <w:p>
      <w:pPr>
        <w:pStyle w:val="ListParagraph"/>
        <w:numPr>
          <w:ilvl w:val="0"/>
          <w:numId w:val="2"/>
        </w:numPr>
        <w:spacing w:after="60" w:before="60"/>
      </w:pPr>
      <w:r>
        <w:rPr>
          <w:rFonts w:ascii="Arial" w:cs="Arial" w:eastAsia="Arial" w:hAnsi="Arial"/>
          <w:color w:val="1A1A1A"/>
          <w:sz w:val="22"/>
          <w:szCs w:val="22"/>
        </w:rPr>
        <w:t xml:space="preserve">BAA: Subcontractor clauses, breach notification timelines, and data destruction terms were reviewed for completeness.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Critical Rule: A missing or out-of-scope BAA creates direct HIPAA liability for JHH as the covered entity. Any such finding required immediate escalation to Legal and Compliance leadership.</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3.5  Vendor Risk Scoring Model</w:t>
      </w:r>
    </w:p>
    <w:p>
      <w:pPr>
        <w:spacing w:after="80" w:before="80" w:line="320"/>
      </w:pPr>
      <w:r>
        <w:rPr>
          <w:rFonts w:ascii="Arial" w:cs="Arial" w:eastAsia="Arial" w:hAnsi="Arial"/>
          <w:b w:val="false"/>
          <w:bCs w:val="false"/>
          <w:i w:val="false"/>
          <w:iCs w:val="false"/>
          <w:color w:val="1A1A1A"/>
          <w:sz w:val="22"/>
          <w:szCs w:val="22"/>
        </w:rPr>
        <w:t xml:space="preserve">Vendors were scored across three weighted dimensions to prioritise remediation efforts and inform contract action:</w:t>
      </w:r>
    </w:p>
    <w:p>
      <w:pPr>
        <w:pStyle w:val="ListParagraph"/>
        <w:numPr>
          <w:ilvl w:val="0"/>
          <w:numId w:val="2"/>
        </w:numPr>
        <w:spacing w:after="60" w:before="60"/>
      </w:pPr>
      <w:r>
        <w:rPr>
          <w:rFonts w:ascii="Arial" w:cs="Arial" w:eastAsia="Arial" w:hAnsi="Arial"/>
          <w:color w:val="1A1A1A"/>
          <w:sz w:val="22"/>
          <w:szCs w:val="22"/>
        </w:rPr>
        <w:t xml:space="preserve">ePHI Exposure — Volume and sensitivity of protected health information handled.</w:t>
      </w:r>
    </w:p>
    <w:p>
      <w:pPr>
        <w:pStyle w:val="ListParagraph"/>
        <w:numPr>
          <w:ilvl w:val="0"/>
          <w:numId w:val="2"/>
        </w:numPr>
        <w:spacing w:after="60" w:before="60"/>
      </w:pPr>
      <w:r>
        <w:rPr>
          <w:rFonts w:ascii="Arial" w:cs="Arial" w:eastAsia="Arial" w:hAnsi="Arial"/>
          <w:color w:val="1A1A1A"/>
          <w:sz w:val="22"/>
          <w:szCs w:val="22"/>
        </w:rPr>
        <w:t xml:space="preserve">Clinical Impact — Effect on patient safety or care delivery if the vendor fails or is compromised.</w:t>
      </w:r>
    </w:p>
    <w:p>
      <w:pPr>
        <w:pStyle w:val="ListParagraph"/>
        <w:numPr>
          <w:ilvl w:val="0"/>
          <w:numId w:val="2"/>
        </w:numPr>
        <w:spacing w:after="60" w:before="60"/>
      </w:pPr>
      <w:r>
        <w:rPr>
          <w:rFonts w:ascii="Arial" w:cs="Arial" w:eastAsia="Arial" w:hAnsi="Arial"/>
          <w:color w:val="1A1A1A"/>
          <w:sz w:val="22"/>
          <w:szCs w:val="22"/>
        </w:rPr>
        <w:t xml:space="preserve">Integration Level — Depth of system connectivity to JHH hospital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22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ePHI Exposure</w:t>
            </w:r>
          </w:p>
        </w:tc>
        <w:tc>
          <w:tcPr>
            <w:tcW w:type="dxa" w:w="22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Clinical Impact</w:t>
            </w:r>
          </w:p>
        </w:tc>
        <w:tc>
          <w:tcPr>
            <w:tcW w:type="dxa" w:w="22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Integration Level</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Cloud Hosting Vendor</w:t>
            </w:r>
          </w:p>
        </w:tc>
        <w:tc>
          <w:tcPr>
            <w:tcW w:type="dxa" w:w="22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w:t>
            </w:r>
          </w:p>
        </w:tc>
        <w:tc>
          <w:tcPr>
            <w:tcW w:type="dxa" w:w="22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Moderate</w:t>
            </w:r>
          </w:p>
        </w:tc>
        <w:tc>
          <w:tcPr>
            <w:tcW w:type="dxa" w:w="22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Deep (EHR-linked)</w:t>
            </w:r>
          </w:p>
        </w:tc>
      </w:tr>
      <w:tr>
        <w:tc>
          <w:tcPr>
            <w:tcW w:type="dxa" w:w="27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Medical Device Manufacturer</w:t>
            </w:r>
          </w:p>
        </w:tc>
        <w:tc>
          <w:tcPr>
            <w:tcW w:type="dxa" w:w="222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Moderate</w:t>
            </w:r>
          </w:p>
        </w:tc>
        <w:tc>
          <w:tcPr>
            <w:tcW w:type="dxa" w:w="222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Critical</w:t>
            </w:r>
          </w:p>
        </w:tc>
        <w:tc>
          <w:tcPr>
            <w:tcW w:type="dxa" w:w="222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Direct Patient Care</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Billing &amp; Revenue Cycle Vendor</w:t>
            </w:r>
          </w:p>
        </w:tc>
        <w:tc>
          <w:tcPr>
            <w:tcW w:type="dxa" w:w="22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w:t>
            </w:r>
          </w:p>
        </w:tc>
        <w:tc>
          <w:tcPr>
            <w:tcW w:type="dxa" w:w="22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Low</w:t>
            </w:r>
          </w:p>
        </w:tc>
        <w:tc>
          <w:tcPr>
            <w:tcW w:type="dxa" w:w="22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Transactional API</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3.6  Risk Prioritisation Outcome</w:t>
      </w:r>
    </w:p>
    <w:p>
      <w:pPr>
        <w:spacing w:after="80" w:before="80" w:line="320"/>
      </w:pPr>
      <w:r>
        <w:rPr>
          <w:rFonts w:ascii="Arial" w:cs="Arial" w:eastAsia="Arial" w:hAnsi="Arial"/>
          <w:b w:val="false"/>
          <w:bCs w:val="false"/>
          <w:i w:val="false"/>
          <w:iCs w:val="false"/>
          <w:color w:val="1A1A1A"/>
          <w:sz w:val="22"/>
          <w:szCs w:val="22"/>
        </w:rPr>
        <w:t xml:space="preserve">Composite risk scores (0–100) were calculated for each vendor. Vendors scoring above 75 trigger mandatory remediation within 30 days per JHH third-party risk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28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Composite Risk Score</w:t>
            </w:r>
          </w:p>
        </w:tc>
        <w:tc>
          <w:tcPr>
            <w:tcW w:type="dxa" w:w="28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Medical Device Manufacturer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82 / 100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Immediate Escalation — Score &gt; 75</w:t>
            </w:r>
          </w:p>
        </w:tc>
      </w:tr>
      <w:tr>
        <w:tc>
          <w:tcPr>
            <w:tcW w:type="dxa" w:w="3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Cloud Hosting Vendor</w:t>
            </w:r>
          </w:p>
        </w:tc>
        <w:tc>
          <w:tcPr>
            <w:tcW w:type="dxa" w:w="28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67 / 100</w:t>
            </w:r>
          </w:p>
        </w:tc>
        <w:tc>
          <w:tcPr>
            <w:tcW w:type="dxa" w:w="28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Remediation Planning Required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Billing &amp; Revenue Cycle Vendor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44 / 100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Monitor — Quarterly Review</w:t>
            </w:r>
          </w:p>
        </w:tc>
      </w:tr>
    </w:tbl>
    <w:p>
      <w:pPr>
        <w:spacing w:after="0" w:before="80"/>
      </w:pPr>
      <w:r>
        <w:t xml:space="preserve"/>
      </w:r>
    </w:p>
    <w:p>
      <w:pPr>
        <w:spacing w:after="80" w:before="80" w:line="320"/>
      </w:pPr>
      <w:r>
        <w:rPr>
          <w:rFonts w:ascii="Arial" w:cs="Arial" w:eastAsia="Arial" w:hAnsi="Arial"/>
          <w:b w:val="false"/>
          <w:bCs w:val="false"/>
          <w:i w:val="false"/>
          <w:iCs w:val="false"/>
          <w:color w:val="1A1A1A"/>
          <w:sz w:val="22"/>
          <w:szCs w:val="22"/>
        </w:rPr>
        <w:t xml:space="preserve">The Medical Device Manufacturer scored highest due to the combination of critical clinical impact, absent HITRUST certification, and an unresolved BAA dispute. Vendors scoring above 75 were formally notified of findings and required to submit a corrective action plan before the Week 4 review cycle.</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3.7  Week 3 Deliverables</w:t>
      </w:r>
    </w:p>
    <w:p>
      <w:pPr>
        <w:pStyle w:val="ListParagraph"/>
        <w:numPr>
          <w:ilvl w:val="0"/>
          <w:numId w:val="2"/>
        </w:numPr>
        <w:spacing w:after="60" w:before="60"/>
      </w:pPr>
      <w:r>
        <w:rPr>
          <w:rFonts w:ascii="Arial" w:cs="Arial" w:eastAsia="Arial" w:hAnsi="Arial"/>
          <w:color w:val="1A1A1A"/>
          <w:sz w:val="22"/>
          <w:szCs w:val="22"/>
        </w:rPr>
        <w:t xml:space="preserve">Due Diligence Checklist — Completed questionnaire mapped to HIPAA Security Rule domains, with per-vendor gap annotations and evidence status.</w:t>
      </w:r>
    </w:p>
    <w:p>
      <w:pPr>
        <w:pStyle w:val="ListParagraph"/>
        <w:numPr>
          <w:ilvl w:val="0"/>
          <w:numId w:val="2"/>
        </w:numPr>
        <w:spacing w:after="60" w:before="60"/>
      </w:pPr>
      <w:r>
        <w:rPr>
          <w:rFonts w:ascii="Arial" w:cs="Arial" w:eastAsia="Arial" w:hAnsi="Arial"/>
          <w:color w:val="1A1A1A"/>
          <w:sz w:val="22"/>
          <w:szCs w:val="22"/>
        </w:rPr>
        <w:t xml:space="preserve">Simulated Vendor Responses — Documented responses from all three vendor archetypes, including evidence artefacts received or outstanding.</w:t>
      </w:r>
    </w:p>
    <w:p>
      <w:pPr>
        <w:pStyle w:val="ListParagraph"/>
        <w:numPr>
          <w:ilvl w:val="0"/>
          <w:numId w:val="2"/>
        </w:numPr>
        <w:spacing w:after="60" w:before="60"/>
      </w:pPr>
      <w:r>
        <w:rPr>
          <w:rFonts w:ascii="Arial" w:cs="Arial" w:eastAsia="Arial" w:hAnsi="Arial"/>
          <w:color w:val="1A1A1A"/>
          <w:sz w:val="22"/>
          <w:szCs w:val="22"/>
        </w:rPr>
        <w:t xml:space="preserve">Vendor Risk Scoring Table — Composite risk scores by ePHI exposure, clinical impact, and integration depth, with recommended next actions per vendor tier.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val="false"/>
                <w:bCs w:val="false"/>
                <w:color w:val="A8C4E0"/>
                <w:sz w:val="20"/>
                <w:szCs w:val="20"/>
              </w:rPr>
              <w:t xml:space="preserve">WEEK 4</w:t>
            </w:r>
          </w:p>
          <w:p>
            <w:pPr>
              <w:spacing w:after="40" w:before="40"/>
              <w:jc w:val="left"/>
            </w:pPr>
            <w:r>
              <w:rPr>
                <w:rFonts w:ascii="Arial" w:cs="Arial" w:eastAsia="Arial" w:hAnsi="Arial"/>
                <w:b/>
                <w:bCs/>
                <w:color w:val="FFFFFF"/>
                <w:sz w:val="36"/>
                <w:szCs w:val="36"/>
              </w:rPr>
              <w:t xml:space="preserve">Vendor Risk Remediation</w:t>
            </w:r>
          </w:p>
          <w:p>
            <w:pPr>
              <w:jc w:val="left"/>
            </w:pPr>
            <w:r>
              <w:rPr>
                <w:rFonts w:ascii="Arial" w:cs="Arial" w:eastAsia="Arial" w:hAnsi="Arial"/>
                <w:i/>
                <w:iCs/>
                <w:color w:val="C8D8EC"/>
                <w:sz w:val="20"/>
                <w:szCs w:val="20"/>
              </w:rPr>
              <w:t xml:space="preserve">Moving from identifying risks to fixing and managing them</w:t>
            </w:r>
          </w:p>
        </w:tc>
      </w:tr>
    </w:tbl>
    <w:p>
      <w:pPr>
        <w:spacing w:after="0" w:before="160"/>
      </w:pPr>
      <w:r>
        <w:t xml:space="preserve"/>
      </w:r>
    </w:p>
    <w:p>
      <w:pPr>
        <w:pStyle w:val="Heading2"/>
        <w:spacing w:after="140" w:before="280"/>
      </w:pPr>
      <w:r>
        <w:rPr>
          <w:rFonts w:ascii="Arial" w:cs="Arial" w:eastAsia="Arial" w:hAnsi="Arial"/>
          <w:b/>
          <w:bCs/>
          <w:color w:val="0D7377"/>
          <w:sz w:val="28"/>
          <w:szCs w:val="28"/>
        </w:rPr>
        <w:t xml:space="preserve">4.1  Overview &amp; Objectives</w:t>
      </w:r>
    </w:p>
    <w:p>
      <w:pPr>
        <w:spacing w:after="80" w:before="80" w:line="320"/>
      </w:pPr>
      <w:r>
        <w:rPr>
          <w:rFonts w:ascii="Arial" w:cs="Arial" w:eastAsia="Arial" w:hAnsi="Arial"/>
          <w:b w:val="false"/>
          <w:bCs w:val="false"/>
          <w:i w:val="false"/>
          <w:iCs w:val="false"/>
          <w:color w:val="1A1A1A"/>
          <w:sz w:val="22"/>
          <w:szCs w:val="22"/>
        </w:rPr>
        <w:t xml:space="preserve">Week 4 shifted focus from identifying risks to actively fixing and managing them. Remediation transforms risk findings into structured action: the goal was to reduce or eliminate critical security gaps in high-risk vendors by applying targeted controls, assigning clear ownership, and setting firm, time-bound deadlines. Week 3 identified and scored vendor risks; Week 4 was the fix, track, and validate phase.</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4.2  Step 1 — Selection of High-Risk Vendors</w:t>
      </w:r>
    </w:p>
    <w:p>
      <w:pPr>
        <w:spacing w:after="80" w:before="80" w:line="320"/>
      </w:pPr>
      <w:r>
        <w:rPr>
          <w:rFonts w:ascii="Arial" w:cs="Arial" w:eastAsia="Arial" w:hAnsi="Arial"/>
          <w:b w:val="false"/>
          <w:bCs w:val="false"/>
          <w:i w:val="false"/>
          <w:iCs w:val="false"/>
          <w:color w:val="1A1A1A"/>
          <w:sz w:val="22"/>
          <w:szCs w:val="22"/>
        </w:rPr>
        <w:t xml:space="preserve">Remediation energy was concentrated on the two vendors with the most critical security gaps — those posing the greatest combined legal, financial, and patient safety exposure:</w:t>
      </w:r>
    </w:p>
    <w:p>
      <w:pPr>
        <w:spacing w:after="0" w:before="80"/>
      </w:pPr>
      <w:r>
        <w:t xml:space="preserve"/>
      </w:r>
    </w:p>
    <w:p>
      <w:pPr>
        <w:spacing w:after="100" w:before="200"/>
      </w:pPr>
      <w:r>
        <w:rPr>
          <w:rFonts w:ascii="Arial" w:cs="Arial" w:eastAsia="Arial" w:hAnsi="Arial"/>
          <w:b/>
          <w:bCs/>
          <w:color w:val="1B3A6B"/>
          <w:sz w:val="24"/>
          <w:szCs w:val="24"/>
        </w:rPr>
        <w:t xml:space="preserve">Cloud Hosting Vendor</w:t>
      </w:r>
    </w:p>
    <w:p>
      <w:pPr>
        <w:pStyle w:val="ListParagraph"/>
        <w:numPr>
          <w:ilvl w:val="0"/>
          <w:numId w:val="2"/>
        </w:numPr>
        <w:spacing w:after="60" w:before="60"/>
      </w:pPr>
      <w:r>
        <w:rPr>
          <w:rFonts w:ascii="Arial" w:cs="Arial" w:eastAsia="Arial" w:hAnsi="Arial"/>
          <w:color w:val="1A1A1A"/>
          <w:sz w:val="22"/>
          <w:szCs w:val="22"/>
        </w:rPr>
        <w:t xml:space="preserve">Primary Risk: No encryption at rest for ePHI.</w:t>
      </w:r>
    </w:p>
    <w:p>
      <w:pPr>
        <w:pStyle w:val="ListParagraph"/>
        <w:numPr>
          <w:ilvl w:val="0"/>
          <w:numId w:val="2"/>
        </w:numPr>
        <w:spacing w:after="60" w:before="60"/>
      </w:pPr>
      <w:r>
        <w:rPr>
          <w:rFonts w:ascii="Arial" w:cs="Arial" w:eastAsia="Arial" w:hAnsi="Arial"/>
          <w:color w:val="1A1A1A"/>
          <w:sz w:val="22"/>
          <w:szCs w:val="22"/>
        </w:rPr>
        <w:t xml:space="preserve">This directly violates the HIPAA Security Rule (45 CFR §164.312).</w:t>
      </w:r>
    </w:p>
    <w:p>
      <w:pPr>
        <w:pStyle w:val="ListParagraph"/>
        <w:numPr>
          <w:ilvl w:val="0"/>
          <w:numId w:val="2"/>
        </w:numPr>
        <w:spacing w:after="60" w:before="60"/>
      </w:pPr>
      <w:r>
        <w:rPr>
          <w:rFonts w:ascii="Arial" w:cs="Arial" w:eastAsia="Arial" w:hAnsi="Arial"/>
          <w:color w:val="1A1A1A"/>
          <w:sz w:val="22"/>
          <w:szCs w:val="22"/>
        </w:rPr>
        <w:t xml:space="preserve">Data breach impact rated as severe — carrying legal, financial, and significant reputational consequences for JHH.</w:t>
      </w:r>
    </w:p>
    <w:p>
      <w:pPr>
        <w:spacing w:after="0" w:before="80"/>
      </w:pPr>
      <w:r>
        <w:t xml:space="preserve"/>
      </w:r>
    </w:p>
    <w:p>
      <w:pPr>
        <w:spacing w:after="100" w:before="200"/>
      </w:pPr>
      <w:r>
        <w:rPr>
          <w:rFonts w:ascii="Arial" w:cs="Arial" w:eastAsia="Arial" w:hAnsi="Arial"/>
          <w:b/>
          <w:bCs/>
          <w:color w:val="1B3A6B"/>
          <w:sz w:val="24"/>
          <w:szCs w:val="24"/>
        </w:rPr>
        <w:t xml:space="preserve">Medical Device Vendor</w:t>
      </w:r>
    </w:p>
    <w:p>
      <w:pPr>
        <w:pStyle w:val="ListParagraph"/>
        <w:numPr>
          <w:ilvl w:val="0"/>
          <w:numId w:val="2"/>
        </w:numPr>
        <w:spacing w:after="60" w:before="60"/>
      </w:pPr>
      <w:r>
        <w:rPr>
          <w:rFonts w:ascii="Arial" w:cs="Arial" w:eastAsia="Arial" w:hAnsi="Arial"/>
          <w:color w:val="1A1A1A"/>
          <w:sz w:val="22"/>
          <w:szCs w:val="22"/>
        </w:rPr>
        <w:t xml:space="preserve">Primary Risk: No documented Incident Response (IR) Plan.</w:t>
      </w:r>
    </w:p>
    <w:p>
      <w:pPr>
        <w:pStyle w:val="ListParagraph"/>
        <w:numPr>
          <w:ilvl w:val="0"/>
          <w:numId w:val="2"/>
        </w:numPr>
        <w:spacing w:after="60" w:before="60"/>
      </w:pPr>
      <w:r>
        <w:rPr>
          <w:rFonts w:ascii="Arial" w:cs="Arial" w:eastAsia="Arial" w:hAnsi="Arial"/>
          <w:color w:val="1A1A1A"/>
          <w:sz w:val="22"/>
          <w:szCs w:val="22"/>
        </w:rPr>
        <w:t xml:space="preserve">A missing IR plan creates a delayed response posture to ransomware attacks and other cyber incidents.</w:t>
      </w:r>
    </w:p>
    <w:p>
      <w:pPr>
        <w:pStyle w:val="ListParagraph"/>
        <w:numPr>
          <w:ilvl w:val="0"/>
          <w:numId w:val="2"/>
        </w:numPr>
        <w:spacing w:after="60" w:before="60"/>
      </w:pPr>
      <w:r>
        <w:rPr>
          <w:rFonts w:ascii="Arial" w:cs="Arial" w:eastAsia="Arial" w:hAnsi="Arial"/>
          <w:color w:val="1A1A1A"/>
          <w:sz w:val="22"/>
          <w:szCs w:val="22"/>
        </w:rPr>
        <w:t xml:space="preserve">Patient safety is directly at risk during any extended system downtime or uncoordinated response.</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4.3  Step 2 — Recommended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Applies To</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Multi-Factor Authentication (MFA)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Both Vendors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Require MFA for all remote access and administrative accounts using authenticator apps or hardware tokens.</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ePHI Encryption (AES-256)</w:t>
            </w:r>
          </w:p>
        </w:tc>
        <w:tc>
          <w:tcPr>
            <w:tcW w:type="dxa" w:w="1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Cloud Vendor</w:t>
            </w:r>
          </w:p>
        </w:tc>
        <w:tc>
          <w:tcPr>
            <w:tcW w:type="dxa" w:w="49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Encrypt all databases and storage buckets at rest. Manage encryption keys via a dedicated Key Management Service (KMS).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Incident Response Plan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Medical Device Vendor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Document detection, containment, and HIPAA breach notification steps. Test annually via tabletop exercises.</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Annual HIPAA Risk Assessments</w:t>
            </w:r>
          </w:p>
        </w:tc>
        <w:tc>
          <w:tcPr>
            <w:tcW w:type="dxa" w:w="1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Both Vendors</w:t>
            </w:r>
          </w:p>
        </w:tc>
        <w:tc>
          <w:tcPr>
            <w:tcW w:type="dxa" w:w="49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Perform yearly risk analysis. Document vulnerabilities and mitigation steps to maintain ongoing compliance.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Enhanced Logging &amp; Monitoring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Both Vendors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Enable access and system logs. Integrate with SIEM tools. Retain logs for 6+ years per HIPAA best practice.</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4.4  Step 3 — Risk Treatment Strategy</w:t>
      </w:r>
    </w:p>
    <w:p>
      <w:pPr>
        <w:spacing w:after="80" w:before="80" w:line="320"/>
      </w:pPr>
      <w:r>
        <w:rPr>
          <w:rFonts w:ascii="Arial" w:cs="Arial" w:eastAsia="Arial" w:hAnsi="Arial"/>
          <w:b w:val="false"/>
          <w:bCs w:val="false"/>
          <w:i w:val="false"/>
          <w:iCs w:val="false"/>
          <w:color w:val="1A1A1A"/>
          <w:sz w:val="22"/>
          <w:szCs w:val="22"/>
        </w:rPr>
        <w:t xml:space="preserve">Every identified risk was assigned a deliberate treatment approach, recognising that not all risks are treated the same way:</w:t>
      </w:r>
    </w:p>
    <w:p>
      <w:pPr>
        <w:pStyle w:val="ListParagraph"/>
        <w:numPr>
          <w:ilvl w:val="0"/>
          <w:numId w:val="2"/>
        </w:numPr>
        <w:spacing w:after="60" w:before="60"/>
      </w:pPr>
      <w:r>
        <w:rPr>
          <w:rFonts w:ascii="Arial" w:cs="Arial" w:eastAsia="Arial" w:hAnsi="Arial"/>
          <w:color w:val="1A1A1A"/>
          <w:sz w:val="22"/>
          <w:szCs w:val="22"/>
        </w:rPr>
        <w:t xml:space="preserve">Mitigate — Implement controls to reduce risk. Example: Add AES-256 encryption to bring the cloud vendor into HIPAA compliance.</w:t>
      </w:r>
    </w:p>
    <w:p>
      <w:pPr>
        <w:pStyle w:val="ListParagraph"/>
        <w:numPr>
          <w:ilvl w:val="0"/>
          <w:numId w:val="2"/>
        </w:numPr>
        <w:spacing w:after="60" w:before="60"/>
      </w:pPr>
      <w:r>
        <w:rPr>
          <w:rFonts w:ascii="Arial" w:cs="Arial" w:eastAsia="Arial" w:hAnsi="Arial"/>
          <w:color w:val="1A1A1A"/>
          <w:sz w:val="22"/>
          <w:szCs w:val="22"/>
        </w:rPr>
        <w:t xml:space="preserve">Transfer — Shift risk via insurance or contract. Example: Require vendor cyber liability insurance and add liability clauses in the BAA.</w:t>
      </w:r>
    </w:p>
    <w:p>
      <w:pPr>
        <w:pStyle w:val="ListParagraph"/>
        <w:numPr>
          <w:ilvl w:val="0"/>
          <w:numId w:val="2"/>
        </w:numPr>
        <w:spacing w:after="60" w:before="60"/>
      </w:pPr>
      <w:r>
        <w:rPr>
          <w:rFonts w:ascii="Arial" w:cs="Arial" w:eastAsia="Arial" w:hAnsi="Arial"/>
          <w:color w:val="1A1A1A"/>
          <w:sz w:val="22"/>
          <w:szCs w:val="22"/>
        </w:rPr>
        <w:t xml:space="preserve">Accept — Accept low-impact risks where the cost of remediation exceeds the benefit. Example: Minor logging gaps with compensating controls already in place.</w:t>
      </w:r>
    </w:p>
    <w:p>
      <w:pPr>
        <w:pStyle w:val="ListParagraph"/>
        <w:numPr>
          <w:ilvl w:val="0"/>
          <w:numId w:val="2"/>
        </w:numPr>
        <w:spacing w:after="60" w:before="60"/>
      </w:pPr>
      <w:r>
        <w:rPr>
          <w:rFonts w:ascii="Arial" w:cs="Arial" w:eastAsia="Arial" w:hAnsi="Arial"/>
          <w:color w:val="1A1A1A"/>
          <w:sz w:val="22"/>
          <w:szCs w:val="22"/>
        </w:rPr>
        <w:t xml:space="preserve">Avoid — Eliminate the risk entirely. Example: Discontinue use of a persistently non-compliant vendor where no viable path to compliance exists.</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4.5  Step 4 — 30–60 Day Remediation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Phase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Days 0–15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Planning and quick wins: notify vendors of findings, enforce MFA across both vendor environments.</w:t>
            </w:r>
          </w:p>
        </w:tc>
      </w:tr>
      <w:tr>
        <w:tc>
          <w:tcPr>
            <w:tcW w:type="dxa" w:w="1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Phase 2</w:t>
            </w:r>
          </w:p>
        </w:tc>
        <w:tc>
          <w:tcPr>
            <w:tcW w:type="dxa" w:w="2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Days 16–30</w:t>
            </w:r>
          </w:p>
        </w:tc>
        <w:tc>
          <w:tcPr>
            <w:tcW w:type="dxa" w:w="51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Implementation: complete AES-256 encryption deployment, finalise IR Plan for medical device vendor, update BAAs.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Phase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Days 31–60</w:t>
            </w:r>
          </w:p>
        </w:tc>
        <w:tc>
          <w:tcPr>
            <w:tcW w:type="dxa" w:w="51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Validation: test all implemented controls, conduct tabletop exercise, complete HIPAA risk assessment.</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4.6  Deliverable 1 — Formal 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400"/>
        <w:gridCol w:w="16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Due Date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Cloud Vendor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 ePHI encryption at rest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AES-256 encryption + KMS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Day 30</w:t>
            </w:r>
          </w:p>
        </w:tc>
      </w:tr>
      <w:tr>
        <w:tc>
          <w:tcPr>
            <w:tcW w:type="dxa" w:w="2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Medical Device Vendor</w:t>
            </w:r>
          </w:p>
        </w:tc>
        <w:tc>
          <w:tcPr>
            <w:tcW w:type="dxa" w:w="29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No Incident Response Plan</w:t>
            </w:r>
          </w:p>
        </w:tc>
        <w:tc>
          <w:tcPr>
            <w:tcW w:type="dxa" w:w="2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Draft &amp; test IR Plan</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Day 45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Both Vendors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Weak access controls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Enforce MFA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Day 15</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4.7  Deliverable 2 — Risk Treatment Worksheet</w:t>
      </w:r>
    </w:p>
    <w:p>
      <w:pPr>
        <w:spacing w:after="80" w:before="80" w:line="320"/>
      </w:pPr>
      <w:r>
        <w:rPr>
          <w:rFonts w:ascii="Arial" w:cs="Arial" w:eastAsia="Arial" w:hAnsi="Arial"/>
          <w:b w:val="false"/>
          <w:bCs w:val="false"/>
          <w:i w:val="false"/>
          <w:iCs w:val="false"/>
          <w:color w:val="1A1A1A"/>
          <w:sz w:val="22"/>
          <w:szCs w:val="22"/>
        </w:rPr>
        <w:t xml:space="preserve">The Risk Treatment Worksheet documents how each identified risk is handled, the justification for the treatment decision, and its regulatory compliance basis. This is an essential audit artefact.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Treatment</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No ePHI encryption at rest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Mitigate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Required by HIPAA Security Rule §164.312(a)(2)(iv)</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No Incident Response Plan</w:t>
            </w:r>
          </w:p>
        </w:tc>
        <w:tc>
          <w:tcPr>
            <w:tcW w:type="dxa" w:w="1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High</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Mitigate</w:t>
            </w:r>
          </w:p>
        </w:tc>
        <w:tc>
          <w:tcPr>
            <w:tcW w:type="dxa" w:w="37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HIPAA Breach Notification Rule — notification required within ≤60 days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Minor logging gap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Accept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Compensating controls in place; remediation cost exceeds residual risk</w:t>
            </w:r>
          </w:p>
        </w:tc>
      </w:tr>
      <w:tr>
        <w:tc>
          <w:tcPr>
            <w:tcW w:type="dxa" w:w="2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Non-compliant vendor (persistent)</w:t>
            </w:r>
          </w:p>
        </w:tc>
        <w:tc>
          <w:tcPr>
            <w:tcW w:type="dxa" w:w="1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Critical</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Avoid</w:t>
            </w:r>
          </w:p>
        </w:tc>
        <w:tc>
          <w:tcPr>
            <w:tcW w:type="dxa" w:w="37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No viable path to compliance identified; contract termination recommended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All high-severity risks must include a written justification and a HIPAA regulatory reference to satisfy OCR auditor requirements.</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4.8  Key Takeaway — Action &amp; Accountability</w:t>
      </w:r>
    </w:p>
    <w:p>
      <w:pPr>
        <w:spacing w:after="80" w:before="80" w:line="320"/>
      </w:pPr>
      <w:r>
        <w:rPr>
          <w:rFonts w:ascii="Arial" w:cs="Arial" w:eastAsia="Arial" w:hAnsi="Arial"/>
          <w:b w:val="false"/>
          <w:bCs w:val="false"/>
          <w:i w:val="false"/>
          <w:iCs w:val="false"/>
          <w:color w:val="1A1A1A"/>
          <w:sz w:val="22"/>
          <w:szCs w:val="22"/>
        </w:rPr>
        <w:t xml:space="preserve">Remediation is where risk management becomes tangible. Controls must be implemented — not merely recommended. Every action must be documented, assigned to a named owner, and validated to withstand regulatory scrutiny. Annual assessments, ongoing logging, and tested IR plans are the mechanisms that keep the vendor ecosystem audit-ready year-round.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val="false"/>
                <w:bCs w:val="false"/>
                <w:color w:val="A8C4E0"/>
                <w:sz w:val="20"/>
                <w:szCs w:val="20"/>
              </w:rPr>
              <w:t xml:space="preserve">WEEK 5</w:t>
            </w:r>
          </w:p>
          <w:p>
            <w:pPr>
              <w:spacing w:after="40" w:before="40"/>
              <w:jc w:val="left"/>
            </w:pPr>
            <w:r>
              <w:rPr>
                <w:rFonts w:ascii="Arial" w:cs="Arial" w:eastAsia="Arial" w:hAnsi="Arial"/>
                <w:b/>
                <w:bCs/>
                <w:color w:val="FFFFFF"/>
                <w:sz w:val="36"/>
                <w:szCs w:val="36"/>
              </w:rPr>
              <w:t xml:space="preserve">Monitoring &amp; Control</w:t>
            </w:r>
          </w:p>
          <w:p>
            <w:pPr>
              <w:jc w:val="left"/>
            </w:pPr>
            <w:r>
              <w:rPr>
                <w:rFonts w:ascii="Arial" w:cs="Arial" w:eastAsia="Arial" w:hAnsi="Arial"/>
                <w:i/>
                <w:iCs/>
                <w:color w:val="C8D8EC"/>
                <w:sz w:val="20"/>
                <w:szCs w:val="20"/>
              </w:rPr>
              <w:t xml:space="preserve">Establishing ongoing vendor oversight — dashboards, compliance tracking, and contract controls</w:t>
            </w:r>
          </w:p>
        </w:tc>
      </w:tr>
    </w:tbl>
    <w:p>
      <w:pPr>
        <w:spacing w:after="0" w:before="160"/>
      </w:pPr>
      <w:r>
        <w:t xml:space="preserve"/>
      </w:r>
    </w:p>
    <w:p>
      <w:pPr>
        <w:pStyle w:val="Heading2"/>
        <w:spacing w:after="140" w:before="280"/>
      </w:pPr>
      <w:r>
        <w:rPr>
          <w:rFonts w:ascii="Arial" w:cs="Arial" w:eastAsia="Arial" w:hAnsi="Arial"/>
          <w:b/>
          <w:bCs/>
          <w:color w:val="0D7377"/>
          <w:sz w:val="28"/>
          <w:szCs w:val="28"/>
        </w:rPr>
        <w:t xml:space="preserve">5.1  Overview &amp; Objectives</w:t>
      </w:r>
    </w:p>
    <w:p>
      <w:pPr>
        <w:spacing w:after="80" w:before="80" w:line="320"/>
      </w:pPr>
      <w:r>
        <w:rPr>
          <w:rFonts w:ascii="Arial" w:cs="Arial" w:eastAsia="Arial" w:hAnsi="Arial"/>
          <w:b w:val="false"/>
          <w:bCs w:val="false"/>
          <w:i w:val="false"/>
          <w:iCs w:val="false"/>
          <w:color w:val="1A1A1A"/>
          <w:sz w:val="22"/>
          <w:szCs w:val="22"/>
        </w:rPr>
        <w:t xml:space="preserve">Week 5 established the infrastructure for continuous, ongoing vendor oversight at Johns Hopkins Hospital. Three parallel deliverables were produced: a TPRM KPI Dashboard providing real-time visibility into vendor risk posture; a Healthcare Compliance Tracker monitoring HIPAA assessment dates, certification renewals, and BAA status; and a Contract Improvement Report identifying gaps across all 59 active vendor agreements.</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5.2  TPRM KPI Dashboard — Top-Line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HIPAA Compliant</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High-Risk Open</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Overdue Items</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BAA Coverage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78%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6 Vendors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14 Items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92%</w:t>
            </w:r>
          </w:p>
        </w:tc>
      </w:tr>
      <w:tr>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Vendors meeting full HIPAA requirements</w:t>
            </w:r>
          </w:p>
        </w:tc>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Vendors with unresolved critical findings</w:t>
            </w:r>
          </w:p>
        </w:tc>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Remediation tasks past due date</w:t>
            </w:r>
          </w:p>
        </w:tc>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Vendors with active signed agreements</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5.3  Risk Distribution — 59 Active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60"/>
        <w:gridCol w:w="38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Tier</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Vendors</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Share</w:t>
            </w:r>
          </w:p>
        </w:tc>
        <w:tc>
          <w:tcPr>
            <w:tcW w:type="dxa" w:w="3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Critical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w:t>
            </w:r>
          </w:p>
        </w:tc>
        <w:tc>
          <w:tcPr>
            <w:tcW w:type="dxa" w:w="1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5.1%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Immediate escalation to CISO required</w:t>
            </w:r>
          </w:p>
        </w:tc>
      </w:tr>
      <w:tr>
        <w:tc>
          <w:tcPr>
            <w:tcW w:type="dxa" w:w="20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High Risk</w:t>
            </w:r>
          </w:p>
        </w:tc>
        <w:tc>
          <w:tcPr>
            <w:tcW w:type="dxa" w:w="1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6</w:t>
            </w:r>
          </w:p>
        </w:tc>
        <w:tc>
          <w:tcPr>
            <w:tcW w:type="dxa" w:w="17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10.2%</w:t>
            </w:r>
          </w:p>
        </w:tc>
        <w:tc>
          <w:tcPr>
            <w:tcW w:type="dxa" w:w="3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Remediation plan due within 30 days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18</w:t>
            </w:r>
          </w:p>
        </w:tc>
        <w:tc>
          <w:tcPr>
            <w:tcW w:type="dxa" w:w="1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30.5%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Quarterly review scheduled</w:t>
            </w:r>
          </w:p>
        </w:tc>
      </w:tr>
      <w:tr>
        <w:tc>
          <w:tcPr>
            <w:tcW w:type="dxa" w:w="20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Low</w:t>
            </w:r>
          </w:p>
        </w:tc>
        <w:tc>
          <w:tcPr>
            <w:tcW w:type="dxa" w:w="1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32</w:t>
            </w:r>
          </w:p>
        </w:tc>
        <w:tc>
          <w:tcPr>
            <w:tcW w:type="dxa" w:w="17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54.2%</w:t>
            </w:r>
          </w:p>
        </w:tc>
        <w:tc>
          <w:tcPr>
            <w:tcW w:type="dxa" w:w="3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Annual review cycle</w:t>
            </w:r>
          </w:p>
        </w:tc>
      </w:tr>
    </w:tbl>
    <w:p>
      <w:pPr>
        <w:spacing w:after="0" w:before="80"/>
      </w:pPr>
      <w:r>
        <w:t xml:space="preserve"/>
      </w:r>
    </w:p>
    <w:p>
      <w:pPr>
        <w:spacing w:after="80" w:before="80" w:line="320"/>
      </w:pPr>
      <w:r>
        <w:rPr>
          <w:rFonts w:ascii="Arial" w:cs="Arial" w:eastAsia="Arial" w:hAnsi="Arial"/>
          <w:b w:val="false"/>
          <w:bCs w:val="false"/>
          <w:i w:val="false"/>
          <w:iCs w:val="false"/>
          <w:color w:val="1A1A1A"/>
          <w:sz w:val="22"/>
          <w:szCs w:val="22"/>
        </w:rPr>
        <w:t xml:space="preserve">The majority of JHH vendors (54%) fall into the Low risk tier. However, 9 vendors require urgent action — 3 critical and 6 high-risk — representing a material exposure requiring immediate programme attention.</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5.4  Healthcare Compliance Tracker</w:t>
      </w:r>
    </w:p>
    <w:p>
      <w:pPr>
        <w:spacing w:after="80" w:before="80" w:line="320"/>
      </w:pPr>
      <w:r>
        <w:rPr>
          <w:rFonts w:ascii="Arial" w:cs="Arial" w:eastAsia="Arial" w:hAnsi="Arial"/>
          <w:b w:val="false"/>
          <w:bCs w:val="false"/>
          <w:i w:val="false"/>
          <w:iCs w:val="false"/>
          <w:color w:val="1A1A1A"/>
          <w:sz w:val="22"/>
          <w:szCs w:val="22"/>
        </w:rPr>
        <w:t xml:space="preserve">The Compliance Tracker provides a centralised log ensuring no critical certification deadline or compliance gap goes unnoticed. Key vendors flagged for immediate outreach included: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80"/>
        <w:gridCol w:w="1580"/>
        <w:gridCol w:w="1600"/>
        <w:gridCol w:w="8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HIPAA Assessment</w:t>
            </w:r>
          </w:p>
        </w:tc>
        <w:tc>
          <w:tcPr>
            <w:tcW w:type="dxa" w:w="15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SOC 2 Renewal</w:t>
            </w:r>
          </w:p>
        </w:tc>
        <w:tc>
          <w:tcPr>
            <w:tcW w:type="dxa" w:w="15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HITRUST Renewal</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BAA Status</w:t>
            </w:r>
          </w:p>
        </w:tc>
        <w:tc>
          <w:tcPr>
            <w:tcW w:type="dxa" w:w="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Overdue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Epic Systems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Jan 15, 2025</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Mar 2025</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Jun 2025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Signed</w:t>
            </w:r>
          </w:p>
        </w:tc>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0</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Cerner/Oracle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Feb 3, 2025</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Apr 2025</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Aug 2025</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Signed</w:t>
            </w:r>
          </w:p>
        </w:tc>
        <w:tc>
          <w:tcPr>
            <w:tcW w:type="dxa" w:w="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Philips HealthSuite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Mar 10, 2025</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Sep 2025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Pending</w:t>
            </w:r>
          </w:p>
        </w:tc>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Change Healthcare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May 2025</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Signed</w:t>
            </w:r>
          </w:p>
        </w:tc>
        <w:tc>
          <w:tcPr>
            <w:tcW w:type="dxa" w:w="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4</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Nuance (Microsoft)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Apr 22, 2025</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Jun 2025</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Dec 2025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Signed</w:t>
            </w:r>
          </w:p>
        </w:tc>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0</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Cognizant Health</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Pending</w:t>
            </w:r>
          </w:p>
        </w:tc>
        <w:tc>
          <w:tcPr>
            <w:tcW w:type="dxa" w:w="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4</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Capita Health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Pending</w:t>
            </w:r>
          </w:p>
        </w:tc>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5</w:t>
            </w:r>
          </w:p>
        </w:tc>
      </w:tr>
      <w:tr>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Dolbey Systems</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58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OVERDUE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Pending</w:t>
            </w:r>
          </w:p>
        </w:tc>
        <w:tc>
          <w:tcPr>
            <w:tcW w:type="dxa" w:w="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Vendors with overdue items require immediate outreach and remediation scheduling before the next audit cycle.</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5.5  Contract Review — Three Critical Clauses</w:t>
      </w:r>
    </w:p>
    <w:p>
      <w:pPr>
        <w:spacing w:after="80" w:before="80" w:line="320"/>
      </w:pPr>
      <w:r>
        <w:rPr>
          <w:rFonts w:ascii="Arial" w:cs="Arial" w:eastAsia="Arial" w:hAnsi="Arial"/>
          <w:b w:val="false"/>
          <w:bCs w:val="false"/>
          <w:i w:val="false"/>
          <w:iCs w:val="false"/>
          <w:color w:val="1A1A1A"/>
          <w:sz w:val="22"/>
          <w:szCs w:val="22"/>
        </w:rPr>
        <w:t xml:space="preserve">All vendor contracts were audited for three critical legal provisions:</w:t>
      </w:r>
    </w:p>
    <w:p>
      <w:pPr>
        <w:spacing w:after="0" w:before="80"/>
      </w:pPr>
      <w:r>
        <w:t xml:space="preserve"/>
      </w:r>
    </w:p>
    <w:p>
      <w:pPr>
        <w:spacing w:after="100" w:before="200"/>
      </w:pPr>
      <w:r>
        <w:rPr>
          <w:rFonts w:ascii="Arial" w:cs="Arial" w:eastAsia="Arial" w:hAnsi="Arial"/>
          <w:b/>
          <w:bCs/>
          <w:color w:val="1B3A6B"/>
          <w:sz w:val="24"/>
          <w:szCs w:val="24"/>
        </w:rPr>
        <w:t xml:space="preserve">1. Breach Notification Timeline</w:t>
      </w:r>
    </w:p>
    <w:p>
      <w:pPr>
        <w:spacing w:after="80" w:before="80" w:line="320"/>
      </w:pPr>
      <w:r>
        <w:rPr>
          <w:rFonts w:ascii="Arial" w:cs="Arial" w:eastAsia="Arial" w:hAnsi="Arial"/>
          <w:b w:val="false"/>
          <w:bCs w:val="false"/>
          <w:i w:val="false"/>
          <w:iCs w:val="false"/>
          <w:color w:val="1A1A1A"/>
          <w:sz w:val="22"/>
          <w:szCs w:val="22"/>
        </w:rPr>
        <w:t xml:space="preserve">HIPAA requires notification within 60 days of a breach. JHH's internal security posture demands a tighter standard: 24–72 hours for initial notification. Most current contracts cited the full 60-day HIPAA maximum, creating a gap relative to JHH's operational requirements.</w:t>
      </w:r>
    </w:p>
    <w:p>
      <w:pPr>
        <w:spacing w:after="0" w:before="80"/>
      </w:pPr>
      <w:r>
        <w:t xml:space="preserve"/>
      </w:r>
    </w:p>
    <w:p>
      <w:pPr>
        <w:spacing w:after="100" w:before="200"/>
      </w:pPr>
      <w:r>
        <w:rPr>
          <w:rFonts w:ascii="Arial" w:cs="Arial" w:eastAsia="Arial" w:hAnsi="Arial"/>
          <w:b/>
          <w:bCs/>
          <w:color w:val="1B3A6B"/>
          <w:sz w:val="24"/>
          <w:szCs w:val="24"/>
        </w:rPr>
        <w:t xml:space="preserve">2. Patient Data Ownership</w:t>
      </w:r>
    </w:p>
    <w:p>
      <w:pPr>
        <w:spacing w:after="80" w:before="80" w:line="320"/>
      </w:pPr>
      <w:r>
        <w:rPr>
          <w:rFonts w:ascii="Arial" w:cs="Arial" w:eastAsia="Arial" w:hAnsi="Arial"/>
          <w:b w:val="false"/>
          <w:bCs w:val="false"/>
          <w:i w:val="false"/>
          <w:iCs w:val="false"/>
          <w:color w:val="1A1A1A"/>
          <w:sz w:val="22"/>
          <w:szCs w:val="22"/>
        </w:rPr>
        <w:t xml:space="preserve">Contracts must confirm that JHH retains full and exclusive ownership of all patient data. Vendors must not retain, sell, or use data post-contract. This clause was missing in 14 vendor agreements.</w:t>
      </w:r>
    </w:p>
    <w:p>
      <w:pPr>
        <w:spacing w:after="0" w:before="80"/>
      </w:pPr>
      <w:r>
        <w:t xml:space="preserve"/>
      </w:r>
    </w:p>
    <w:p>
      <w:pPr>
        <w:spacing w:after="100" w:before="200"/>
      </w:pPr>
      <w:r>
        <w:rPr>
          <w:rFonts w:ascii="Arial" w:cs="Arial" w:eastAsia="Arial" w:hAnsi="Arial"/>
          <w:b/>
          <w:bCs/>
          <w:color w:val="1B3A6B"/>
          <w:sz w:val="24"/>
          <w:szCs w:val="24"/>
        </w:rPr>
        <w:t xml:space="preserve">3. Right-to-Audit Clause</w:t>
      </w:r>
    </w:p>
    <w:p>
      <w:pPr>
        <w:spacing w:after="80" w:before="80" w:line="320"/>
      </w:pPr>
      <w:r>
        <w:rPr>
          <w:rFonts w:ascii="Arial" w:cs="Arial" w:eastAsia="Arial" w:hAnsi="Arial"/>
          <w:b w:val="false"/>
          <w:bCs w:val="false"/>
          <w:i w:val="false"/>
          <w:iCs w:val="false"/>
          <w:color w:val="1A1A1A"/>
          <w:sz w:val="22"/>
          <w:szCs w:val="22"/>
        </w:rPr>
        <w:t xml:space="preserve">JHH must have an explicit contractual right to audit vendor security controls — at minimum annually, with appropriate notice provisions. This clause was absent in 51% of contracts reviewed, representing the most pervasive gap found.</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5.6  Contract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560"/>
        <w:gridCol w:w="160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Contract Clause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Compliant</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Gap / Missing</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Gap %</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Right-to-Audit Clause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29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51%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CRITICAL</w:t>
            </w:r>
          </w:p>
        </w:tc>
      </w:tr>
      <w:tr>
        <w:tc>
          <w:tcPr>
            <w:tcW w:type="dxa" w:w="30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Data Destruction Clause</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32</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27</w:t>
            </w:r>
          </w:p>
        </w:tc>
        <w:tc>
          <w:tcPr>
            <w:tcW w:type="dxa" w:w="15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46%</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Breach Notification Timeline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21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w:t>
            </w:r>
          </w:p>
        </w:tc>
      </w:tr>
      <w:tr>
        <w:tc>
          <w:tcPr>
            <w:tcW w:type="dxa" w:w="30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Subprocessor Restrictions</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40</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19</w:t>
            </w:r>
          </w:p>
        </w:tc>
        <w:tc>
          <w:tcPr>
            <w:tcW w:type="dxa" w:w="15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32%</w:t>
            </w:r>
          </w:p>
        </w:tc>
        <w:tc>
          <w:tcPr>
            <w:tcW w:type="dxa" w:w="16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MEDIUM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Data Ownership Clause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45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24%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MEDIUM</w:t>
            </w:r>
          </w:p>
        </w:tc>
      </w:tr>
    </w:tbl>
    <w:p>
      <w:pPr>
        <w:spacing w:after="0" w:before="80"/>
      </w:pPr>
      <w:r>
        <w:t xml:space="preserve"/>
      </w:r>
    </w:p>
    <w:p>
      <w:pPr>
        <w:spacing w:after="80" w:before="80" w:line="320"/>
      </w:pPr>
      <w:r>
        <w:rPr>
          <w:rFonts w:ascii="Arial" w:cs="Arial" w:eastAsia="Arial" w:hAnsi="Arial"/>
          <w:b w:val="false"/>
          <w:bCs w:val="false"/>
          <w:i w:val="false"/>
          <w:iCs w:val="false"/>
          <w:color w:val="1A1A1A"/>
          <w:sz w:val="22"/>
          <w:szCs w:val="22"/>
        </w:rPr>
        <w:t xml:space="preserve">Priority action: Renegotiate the top 10 high-risk vendor contracts by end of Q2 2025, starting with those holding Critical and High risk designations. A standardised JHH contract addendum should be developed to enforce consistent HIPAA language, breach notification SLAs, and audit rights across all third-party agreements.</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5.7  Week 5 Deliverables</w:t>
      </w:r>
    </w:p>
    <w:p>
      <w:pPr>
        <w:pStyle w:val="ListParagraph"/>
        <w:numPr>
          <w:ilvl w:val="0"/>
          <w:numId w:val="2"/>
        </w:numPr>
        <w:spacing w:after="60" w:before="60"/>
      </w:pPr>
      <w:r>
        <w:rPr>
          <w:rFonts w:ascii="Arial" w:cs="Arial" w:eastAsia="Arial" w:hAnsi="Arial"/>
          <w:color w:val="1A1A1A"/>
          <w:sz w:val="22"/>
          <w:szCs w:val="22"/>
        </w:rPr>
        <w:t xml:space="preserve">KPI Dashboard — Excel-based live view of HIPAA compliance rate, high-risk open vendor count, and overdue remediation items across 59 vendors.</w:t>
      </w:r>
    </w:p>
    <w:p>
      <w:pPr>
        <w:pStyle w:val="ListParagraph"/>
        <w:numPr>
          <w:ilvl w:val="0"/>
          <w:numId w:val="2"/>
        </w:numPr>
        <w:spacing w:after="60" w:before="60"/>
      </w:pPr>
      <w:r>
        <w:rPr>
          <w:rFonts w:ascii="Arial" w:cs="Arial" w:eastAsia="Arial" w:hAnsi="Arial"/>
          <w:color w:val="1A1A1A"/>
          <w:sz w:val="22"/>
          <w:szCs w:val="22"/>
        </w:rPr>
        <w:t xml:space="preserve">Compliance Tracker — Master log of all HIPAA assessment dates, SOC 2 / HITRUST renewals, and BAA status by vendor.</w:t>
      </w:r>
    </w:p>
    <w:p>
      <w:pPr>
        <w:pStyle w:val="ListParagraph"/>
        <w:numPr>
          <w:ilvl w:val="0"/>
          <w:numId w:val="2"/>
        </w:numPr>
        <w:spacing w:after="60" w:before="60"/>
      </w:pPr>
      <w:r>
        <w:rPr>
          <w:rFonts w:ascii="Arial" w:cs="Arial" w:eastAsia="Arial" w:hAnsi="Arial"/>
          <w:color w:val="1A1A1A"/>
          <w:sz w:val="22"/>
          <w:szCs w:val="22"/>
        </w:rPr>
        <w:t xml:space="preserve">Contract Improvement Report — Gap analysis across all 59 vendors with prioritised remediation recommendations and model contract language.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All three deliverables were presented to the Vendor Risk Committee in the Week 6 review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val="false"/>
                <w:bCs w:val="false"/>
                <w:color w:val="A8C4E0"/>
                <w:sz w:val="20"/>
                <w:szCs w:val="20"/>
              </w:rPr>
              <w:t xml:space="preserve">WEEK 6</w:t>
            </w:r>
          </w:p>
          <w:p>
            <w:pPr>
              <w:spacing w:after="40" w:before="40"/>
              <w:jc w:val="left"/>
            </w:pPr>
            <w:r>
              <w:rPr>
                <w:rFonts w:ascii="Arial" w:cs="Arial" w:eastAsia="Arial" w:hAnsi="Arial"/>
                <w:b/>
                <w:bCs/>
                <w:color w:val="FFFFFF"/>
                <w:sz w:val="36"/>
                <w:szCs w:val="36"/>
              </w:rPr>
              <w:t xml:space="preserve">Final Report &amp; Executive Briefing</w:t>
            </w:r>
          </w:p>
          <w:p>
            <w:pPr>
              <w:jc w:val="left"/>
            </w:pPr>
            <w:r>
              <w:rPr>
                <w:rFonts w:ascii="Arial" w:cs="Arial" w:eastAsia="Arial" w:hAnsi="Arial"/>
                <w:i/>
                <w:iCs/>
                <w:color w:val="C8D8EC"/>
                <w:sz w:val="20"/>
                <w:szCs w:val="20"/>
              </w:rPr>
              <w:t xml:space="preserve">Programme Closure — Presented to CIO/CISO, Compliance &amp; Privacy Leadership</w:t>
            </w:r>
          </w:p>
        </w:tc>
      </w:tr>
    </w:tbl>
    <w:p>
      <w:pPr>
        <w:spacing w:after="0" w:before="160"/>
      </w:pPr>
      <w:r>
        <w:t xml:space="preserve"/>
      </w:r>
    </w:p>
    <w:p>
      <w:pPr>
        <w:pStyle w:val="Heading2"/>
        <w:spacing w:after="140" w:before="280"/>
      </w:pPr>
      <w:r>
        <w:rPr>
          <w:rFonts w:ascii="Arial" w:cs="Arial" w:eastAsia="Arial" w:hAnsi="Arial"/>
          <w:b/>
          <w:bCs/>
          <w:color w:val="0D7377"/>
          <w:sz w:val="28"/>
          <w:szCs w:val="28"/>
        </w:rPr>
        <w:t xml:space="preserve">6.1  Overview &amp; Objectives</w:t>
      </w:r>
    </w:p>
    <w:p>
      <w:pPr>
        <w:spacing w:after="80" w:before="80" w:line="320"/>
      </w:pPr>
      <w:r>
        <w:rPr>
          <w:rFonts w:ascii="Arial" w:cs="Arial" w:eastAsia="Arial" w:hAnsi="Arial"/>
          <w:b w:val="false"/>
          <w:bCs w:val="false"/>
          <w:i w:val="false"/>
          <w:iCs w:val="false"/>
          <w:color w:val="1A1A1A"/>
          <w:sz w:val="22"/>
          <w:szCs w:val="22"/>
        </w:rPr>
        <w:t xml:space="preserve">Week 6 completed the TPRM engagement with a formal executive briefing and programme closure package. This briefing synthesised all findings from the six-week engagement and presented a clear, actionable set of recommendations for JHH hospital leadership, covering vendor risk disposition, HIPAA gap remediation, and the path to a mature, sustainable TPRM programme.</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6.2  Vendor Risk Summary</w:t>
      </w:r>
    </w:p>
    <w:p>
      <w:pPr>
        <w:spacing w:after="80" w:before="80" w:line="320"/>
      </w:pPr>
      <w:r>
        <w:rPr>
          <w:rFonts w:ascii="Arial" w:cs="Arial" w:eastAsia="Arial" w:hAnsi="Arial"/>
          <w:b w:val="false"/>
          <w:bCs w:val="false"/>
          <w:i w:val="false"/>
          <w:iCs w:val="false"/>
          <w:color w:val="1A1A1A"/>
          <w:sz w:val="22"/>
          <w:szCs w:val="22"/>
        </w:rPr>
        <w:t xml:space="preserve">The assessment evaluated all active third-party vendors with access to PHI or critical hospital systems. Vendors were scored across five risk dimensions: data access, contractual controls, security posture, incident history, and regulatory compliance.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75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Summary Findings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High Risk</w:t>
            </w:r>
          </w:p>
        </w:tc>
        <w:tc>
          <w:tcPr>
            <w:tcW w:type="dxa" w:w="7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 vendors with direct PHI access lacked current Business Associate Agreements (BAAs) and had unresolved security questionnaire findings requiring immediate contract action and access suspension pending remediation.</w:t>
            </w:r>
          </w:p>
        </w:tc>
      </w:tr>
      <w:tr>
        <w:tc>
          <w:tcPr>
            <w:tcW w:type="dxa" w:w="18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Medium Risk</w:t>
            </w:r>
          </w:p>
        </w:tc>
        <w:tc>
          <w:tcPr>
            <w:tcW w:type="dxa" w:w="75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7 vendors presented moderate gaps — primarily outdated certifications (SOC 2, HITRUST) or incomplete incident response documentation. Scheduled for structured remediation within 45–60 days.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Low Risk</w:t>
            </w:r>
          </w:p>
        </w:tc>
        <w:tc>
          <w:tcPr>
            <w:tcW w:type="dxa" w:w="7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11 vendors demonstrated strong controls, current BAAs, and satisfactory security posture with no material findings. Subject to standard annual review cycle.</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6.3  HIPAA Gap Analysis Summary</w:t>
      </w:r>
    </w:p>
    <w:p>
      <w:pPr>
        <w:spacing w:after="80" w:before="80" w:line="320"/>
      </w:pPr>
      <w:r>
        <w:rPr>
          <w:rFonts w:ascii="Arial" w:cs="Arial" w:eastAsia="Arial" w:hAnsi="Arial"/>
          <w:b w:val="false"/>
          <w:bCs w:val="false"/>
          <w:i w:val="false"/>
          <w:iCs w:val="false"/>
          <w:color w:val="1A1A1A"/>
          <w:sz w:val="22"/>
          <w:szCs w:val="22"/>
        </w:rPr>
        <w:t xml:space="preserve">A structured gap assessment was conducted against HIPAA Security Rule (45 CFR Part 164) and Privacy Rule requirements, mapped across administrative, physical, and technical safeguard categories.</w:t>
      </w:r>
    </w:p>
    <w:p>
      <w:pPr>
        <w:spacing w:after="0" w:before="80"/>
      </w:pPr>
      <w:r>
        <w:t xml:space="preserve"/>
      </w:r>
    </w:p>
    <w:p>
      <w:pPr>
        <w:spacing w:after="100" w:before="200"/>
      </w:pPr>
      <w:r>
        <w:rPr>
          <w:rFonts w:ascii="Arial" w:cs="Arial" w:eastAsia="Arial" w:hAnsi="Arial"/>
          <w:b/>
          <w:bCs/>
          <w:color w:val="1B3A6B"/>
          <w:sz w:val="24"/>
          <w:szCs w:val="24"/>
        </w:rPr>
        <w:t xml:space="preserve">Administrative Safeguard Gaps</w:t>
      </w:r>
    </w:p>
    <w:p>
      <w:pPr>
        <w:pStyle w:val="ListParagraph"/>
        <w:numPr>
          <w:ilvl w:val="0"/>
          <w:numId w:val="2"/>
        </w:numPr>
        <w:spacing w:after="60" w:before="60"/>
      </w:pPr>
      <w:r>
        <w:rPr>
          <w:rFonts w:ascii="Arial" w:cs="Arial" w:eastAsia="Arial" w:hAnsi="Arial"/>
          <w:color w:val="1A1A1A"/>
          <w:sz w:val="22"/>
          <w:szCs w:val="22"/>
        </w:rPr>
        <w:t xml:space="preserve">Missing or expired BAAs with 3 high-risk vendors.</w:t>
      </w:r>
    </w:p>
    <w:p>
      <w:pPr>
        <w:pStyle w:val="ListParagraph"/>
        <w:numPr>
          <w:ilvl w:val="0"/>
          <w:numId w:val="2"/>
        </w:numPr>
        <w:spacing w:after="60" w:before="60"/>
      </w:pPr>
      <w:r>
        <w:rPr>
          <w:rFonts w:ascii="Arial" w:cs="Arial" w:eastAsia="Arial" w:hAnsi="Arial"/>
          <w:color w:val="1A1A1A"/>
          <w:sz w:val="22"/>
          <w:szCs w:val="22"/>
        </w:rPr>
        <w:t xml:space="preserve">No formal vendor risk tiering policy in place at programme start.</w:t>
      </w:r>
    </w:p>
    <w:p>
      <w:pPr>
        <w:pStyle w:val="ListParagraph"/>
        <w:numPr>
          <w:ilvl w:val="0"/>
          <w:numId w:val="2"/>
        </w:numPr>
        <w:spacing w:after="60" w:before="60"/>
      </w:pPr>
      <w:r>
        <w:rPr>
          <w:rFonts w:ascii="Arial" w:cs="Arial" w:eastAsia="Arial" w:hAnsi="Arial"/>
          <w:color w:val="1A1A1A"/>
          <w:sz w:val="22"/>
          <w:szCs w:val="22"/>
        </w:rPr>
        <w:t xml:space="preserve">Workforce training records incomplete for PHI-handling vendor roles.</w:t>
      </w:r>
    </w:p>
    <w:p>
      <w:pPr>
        <w:pStyle w:val="ListParagraph"/>
        <w:numPr>
          <w:ilvl w:val="0"/>
          <w:numId w:val="2"/>
        </w:numPr>
        <w:spacing w:after="60" w:before="60"/>
      </w:pPr>
      <w:r>
        <w:rPr>
          <w:rFonts w:ascii="Arial" w:cs="Arial" w:eastAsia="Arial" w:hAnsi="Arial"/>
          <w:color w:val="1A1A1A"/>
          <w:sz w:val="22"/>
          <w:szCs w:val="22"/>
        </w:rPr>
        <w:t xml:space="preserve">Incident response plans not tested jointly with third-party vendors.</w:t>
      </w:r>
    </w:p>
    <w:p>
      <w:pPr>
        <w:spacing w:after="0" w:before="80"/>
      </w:pPr>
      <w:r>
        <w:t xml:space="preserve"/>
      </w:r>
    </w:p>
    <w:p>
      <w:pPr>
        <w:spacing w:after="100" w:before="200"/>
      </w:pPr>
      <w:r>
        <w:rPr>
          <w:rFonts w:ascii="Arial" w:cs="Arial" w:eastAsia="Arial" w:hAnsi="Arial"/>
          <w:b/>
          <w:bCs/>
          <w:color w:val="1B3A6B"/>
          <w:sz w:val="24"/>
          <w:szCs w:val="24"/>
        </w:rPr>
        <w:t xml:space="preserve">Technical &amp; Physical Safeguard Gaps</w:t>
      </w:r>
    </w:p>
    <w:p>
      <w:pPr>
        <w:pStyle w:val="ListParagraph"/>
        <w:numPr>
          <w:ilvl w:val="0"/>
          <w:numId w:val="2"/>
        </w:numPr>
        <w:spacing w:after="60" w:before="60"/>
      </w:pPr>
      <w:r>
        <w:rPr>
          <w:rFonts w:ascii="Arial" w:cs="Arial" w:eastAsia="Arial" w:hAnsi="Arial"/>
          <w:color w:val="1A1A1A"/>
          <w:sz w:val="22"/>
          <w:szCs w:val="22"/>
        </w:rPr>
        <w:t xml:space="preserve">Vendor access not reviewed or recertified in 12+ months across multiple accounts.</w:t>
      </w:r>
    </w:p>
    <w:p>
      <w:pPr>
        <w:pStyle w:val="ListParagraph"/>
        <w:numPr>
          <w:ilvl w:val="0"/>
          <w:numId w:val="2"/>
        </w:numPr>
        <w:spacing w:after="60" w:before="60"/>
      </w:pPr>
      <w:r>
        <w:rPr>
          <w:rFonts w:ascii="Arial" w:cs="Arial" w:eastAsia="Arial" w:hAnsi="Arial"/>
          <w:color w:val="1A1A1A"/>
          <w:sz w:val="22"/>
          <w:szCs w:val="22"/>
        </w:rPr>
        <w:t xml:space="preserve">Shared credentials identified in two active vendor integrations — a direct control failure.</w:t>
      </w:r>
    </w:p>
    <w:p>
      <w:pPr>
        <w:pStyle w:val="ListParagraph"/>
        <w:numPr>
          <w:ilvl w:val="0"/>
          <w:numId w:val="2"/>
        </w:numPr>
        <w:spacing w:after="60" w:before="60"/>
      </w:pPr>
      <w:r>
        <w:rPr>
          <w:rFonts w:ascii="Arial" w:cs="Arial" w:eastAsia="Arial" w:hAnsi="Arial"/>
          <w:color w:val="1A1A1A"/>
          <w:sz w:val="22"/>
          <w:szCs w:val="22"/>
        </w:rPr>
        <w:t xml:space="preserve">Encryption standards unverified for two data-sharing vendors.</w:t>
      </w:r>
    </w:p>
    <w:p>
      <w:pPr>
        <w:pStyle w:val="ListParagraph"/>
        <w:numPr>
          <w:ilvl w:val="0"/>
          <w:numId w:val="2"/>
        </w:numPr>
        <w:spacing w:after="60" w:before="60"/>
      </w:pPr>
      <w:r>
        <w:rPr>
          <w:rFonts w:ascii="Arial" w:cs="Arial" w:eastAsia="Arial" w:hAnsi="Arial"/>
          <w:color w:val="1A1A1A"/>
          <w:sz w:val="22"/>
          <w:szCs w:val="22"/>
        </w:rPr>
        <w:t xml:space="preserve">No audit logging requirements embedded in current vendor contract language.</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6.4  Risk Exposure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Vendors Assessed</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High-Risk Vendors</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HIPAA Gaps Identified</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Days to Remediate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21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60</w:t>
            </w:r>
          </w:p>
        </w:tc>
      </w:tr>
      <w:tr>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Total reviewed for PHI access and security posture</w:t>
            </w:r>
          </w:p>
        </w:tc>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Require immediate remediation before next audit cycle</w:t>
            </w:r>
          </w:p>
        </w:tc>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Spanning all safeguard categories</w:t>
            </w:r>
          </w:p>
        </w:tc>
        <w:tc>
          <w:tcPr>
            <w:tcW w:type="dxa" w:w="234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Recommended window for critical findings</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6.5  Prioritised Remediation Recommendations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4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 / Timeline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Execute Missing BAAs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Draft and execute Business Associate Agreements with all 3 high-risk vendors. Suspend data sharing until signed BAAs are confirmed.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Legal / Compliance | 30 days</w:t>
            </w:r>
          </w:p>
        </w:tc>
      </w:tr>
      <w:tr>
        <w:tc>
          <w:tcPr>
            <w:tcW w:type="dxa" w:w="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2</w:t>
            </w:r>
          </w:p>
        </w:tc>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Revoke &amp; Recertify Vendor Access</w:t>
            </w:r>
          </w:p>
        </w:tc>
        <w:tc>
          <w:tcPr>
            <w:tcW w:type="dxa" w:w="4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Audit all active vendor credentials. Revoke stale access, eliminate shared accounts, and enforce role-based access controls with formal recertification.</w:t>
            </w:r>
          </w:p>
        </w:tc>
        <w:tc>
          <w:tcPr>
            <w:tcW w:type="dxa" w:w="2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IT / IAM Team | 45 days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Update Vendor Contracts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Revise vendor agreements to include mandatory audit logging, encryption standards, breach notification timelines, and right-to-audit clauses.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Procurement / Legal | 60 days</w:t>
            </w:r>
          </w:p>
        </w:tc>
      </w:tr>
      <w:tr>
        <w:tc>
          <w:tcPr>
            <w:tcW w:type="dxa" w:w="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4</w:t>
            </w:r>
          </w:p>
        </w:tc>
        <w:tc>
          <w:tcPr>
            <w:tcW w:type="dxa" w:w="22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Conduct Joint IR Drill</w:t>
            </w:r>
          </w:p>
        </w:tc>
        <w:tc>
          <w:tcPr>
            <w:tcW w:type="dxa" w:w="4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Execute a tabletop exercise with high-risk vendors to validate breach notification procedures and test coordinated incident response capabilities.</w:t>
            </w:r>
          </w:p>
        </w:tc>
        <w:tc>
          <w:tcPr>
            <w:tcW w:type="dxa" w:w="24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CISO / Risk Mgmt | 90 days</w:t>
            </w:r>
          </w:p>
        </w:tc>
      </w:tr>
    </w:tbl>
    <w:p>
      <w:pPr>
        <w:spacing w:after="0" w:before="120"/>
      </w:pPr>
      <w:r>
        <w:t xml:space="preserve"/>
      </w:r>
    </w:p>
    <w:p>
      <w:pPr>
        <w:pStyle w:val="Heading2"/>
        <w:spacing w:after="140" w:before="280"/>
      </w:pPr>
      <w:r>
        <w:rPr>
          <w:rFonts w:ascii="Arial" w:cs="Arial" w:eastAsia="Arial" w:hAnsi="Arial"/>
          <w:b/>
          <w:bCs/>
          <w:color w:val="0D7377"/>
          <w:sz w:val="28"/>
          <w:szCs w:val="28"/>
        </w:rPr>
        <w:t xml:space="preserve">6.6  Process Improvement Recommendations</w:t>
      </w:r>
    </w:p>
    <w:p>
      <w:pPr>
        <w:spacing w:after="100" w:before="200"/>
      </w:pPr>
      <w:r>
        <w:rPr>
          <w:rFonts w:ascii="Arial" w:cs="Arial" w:eastAsia="Arial" w:hAnsi="Arial"/>
          <w:b/>
          <w:bCs/>
          <w:color w:val="1B3A6B"/>
          <w:sz w:val="24"/>
          <w:szCs w:val="24"/>
        </w:rPr>
        <w:t xml:space="preserve">Stronger Vendor Onboarding</w:t>
      </w:r>
    </w:p>
    <w:p>
      <w:pPr>
        <w:spacing w:after="80" w:before="80" w:line="320"/>
      </w:pPr>
      <w:r>
        <w:rPr>
          <w:rFonts w:ascii="Arial" w:cs="Arial" w:eastAsia="Arial" w:hAnsi="Arial"/>
          <w:b w:val="false"/>
          <w:bCs w:val="false"/>
          <w:i w:val="false"/>
          <w:iCs w:val="false"/>
          <w:color w:val="1A1A1A"/>
          <w:sz w:val="22"/>
          <w:szCs w:val="22"/>
        </w:rPr>
        <w:t xml:space="preserve">Require security questionnaires, proof of HITRUST or SOC 2 certification, executed BAAs, and completed risk tiering before any vendor is granted access to JHH systems. Compliance gates must be embedded directly into the procurement workflow so that security reviews occur before, not after, contract execution.</w:t>
      </w:r>
    </w:p>
    <w:p>
      <w:pPr>
        <w:spacing w:after="0" w:before="80"/>
      </w:pPr>
      <w:r>
        <w:t xml:space="preserve"/>
      </w:r>
    </w:p>
    <w:p>
      <w:pPr>
        <w:spacing w:after="100" w:before="200"/>
      </w:pPr>
      <w:r>
        <w:rPr>
          <w:rFonts w:ascii="Arial" w:cs="Arial" w:eastAsia="Arial" w:hAnsi="Arial"/>
          <w:b/>
          <w:bCs/>
          <w:color w:val="1B3A6B"/>
          <w:sz w:val="24"/>
          <w:szCs w:val="24"/>
        </w:rPr>
        <w:t xml:space="preserve">Automated Monitoring Tools</w:t>
      </w:r>
    </w:p>
    <w:p>
      <w:pPr>
        <w:spacing w:after="80" w:before="80" w:line="320"/>
      </w:pPr>
      <w:r>
        <w:rPr>
          <w:rFonts w:ascii="Arial" w:cs="Arial" w:eastAsia="Arial" w:hAnsi="Arial"/>
          <w:b w:val="false"/>
          <w:bCs w:val="false"/>
          <w:i w:val="false"/>
          <w:iCs w:val="false"/>
          <w:color w:val="1A1A1A"/>
          <w:sz w:val="22"/>
          <w:szCs w:val="22"/>
        </w:rPr>
        <w:t xml:space="preserve">Deploy continuous vendor monitoring platforms — such as BitSight or SecurityScorecard — to provide real-time visibility into vendor security posture, CVE exposure, and dark web threat intelligence. These tools replace the inadequate annual point-in-time review model with continuous, evidence-based oversight.</w:t>
      </w:r>
    </w:p>
    <w:p>
      <w:pPr>
        <w:spacing w:after="0" w:before="80"/>
      </w:pPr>
      <w:r>
        <w:t xml:space="preserve"/>
      </w:r>
    </w:p>
    <w:p>
      <w:pPr>
        <w:spacing w:after="100" w:before="200"/>
      </w:pPr>
      <w:r>
        <w:rPr>
          <w:rFonts w:ascii="Arial" w:cs="Arial" w:eastAsia="Arial" w:hAnsi="Arial"/>
          <w:b/>
          <w:bCs/>
          <w:color w:val="1B3A6B"/>
          <w:sz w:val="24"/>
          <w:szCs w:val="24"/>
        </w:rPr>
        <w:t xml:space="preserve">Secure Vendor Offboarding</w:t>
      </w:r>
    </w:p>
    <w:p>
      <w:pPr>
        <w:spacing w:after="80" w:before="80" w:line="320"/>
      </w:pPr>
      <w:r>
        <w:rPr>
          <w:rFonts w:ascii="Arial" w:cs="Arial" w:eastAsia="Arial" w:hAnsi="Arial"/>
          <w:b w:val="false"/>
          <w:bCs w:val="false"/>
          <w:i w:val="false"/>
          <w:iCs w:val="false"/>
          <w:color w:val="1A1A1A"/>
          <w:sz w:val="22"/>
          <w:szCs w:val="22"/>
        </w:rPr>
        <w:t xml:space="preserve">Implement a formal offboarding checklist that mandates immediate credential revocation, data return or destruction confirmation, BAA termination documentation, and a final access audit upon contract conclusion. Offboarding failures represent a material source of residual risk in most healthcare TPRM programmes.</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6.7  Recommended TPRM Lifecycle Framework</w:t>
      </w:r>
    </w:p>
    <w:p>
      <w:pPr>
        <w:spacing w:after="80" w:before="80" w:line="320"/>
      </w:pPr>
      <w:r>
        <w:rPr>
          <w:rFonts w:ascii="Arial" w:cs="Arial" w:eastAsia="Arial" w:hAnsi="Arial"/>
          <w:b w:val="false"/>
          <w:bCs w:val="false"/>
          <w:i w:val="false"/>
          <w:iCs w:val="false"/>
          <w:color w:val="1A1A1A"/>
          <w:sz w:val="22"/>
          <w:szCs w:val="22"/>
        </w:rPr>
        <w:t xml:space="preserve">A mature TPRM programme treats vendor risk as a continuous cycle — not a one-time point-in-time event. The following six-stage lifecycle framework was recommended as the structural foundation for JHH's ongoing, defensible TPRM practice: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7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 Vendor Identification &amp; Tiering</w:t>
            </w:r>
          </w:p>
        </w:tc>
        <w:tc>
          <w:tcPr>
            <w:tcW w:type="dxa" w:w="7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Classify all third parties by PHI access and clinical criticality. Assign risk tiers before any system access is granted.</w:t>
            </w:r>
          </w:p>
        </w:tc>
      </w:tr>
      <w:tr>
        <w:tc>
          <w:tcPr>
            <w:tcW w:type="dxa" w:w="20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2. Due Diligence &amp; Onboarding</w:t>
            </w:r>
          </w:p>
        </w:tc>
        <w:tc>
          <w:tcPr>
            <w:tcW w:type="dxa" w:w="7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Conduct security questionnaires, execute BAAs, and validate certifications (SOC 2, HITRUST) as prerequisites to access.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3. Contracting &amp; Controls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Embed security SLAs, audit rights, encryption standards, and breach notification timelines into all vendor agreements.</w:t>
            </w:r>
          </w:p>
        </w:tc>
      </w:tr>
      <w:tr>
        <w:tc>
          <w:tcPr>
            <w:tcW w:type="dxa" w:w="20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4. Continuous Monitoring</w:t>
            </w:r>
          </w:p>
        </w:tc>
        <w:tc>
          <w:tcPr>
            <w:tcW w:type="dxa" w:w="7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Deploy automated scoring and periodic reassessment to maintain real-time visibility into vendor security posture.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5. Incident Response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Maintain coordinated breach notification protocols and escalation paths tested jointly with high-risk vendors.</w:t>
            </w:r>
          </w:p>
        </w:tc>
      </w:tr>
      <w:tr>
        <w:tc>
          <w:tcPr>
            <w:tcW w:type="dxa" w:w="200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6. Offboarding &amp; Closure</w:t>
            </w:r>
          </w:p>
        </w:tc>
        <w:tc>
          <w:tcPr>
            <w:tcW w:type="dxa" w:w="7360"/>
            <w:tcBorders>
              <w:top w:val="single" w:color="DDDDDD" w:sz="1"/>
              <w:left w:val="single" w:color="DDDDDD" w:sz="1"/>
              <w:bottom w:val="single" w:color="DDDDDD" w:sz="1"/>
              <w:right w:val="single" w:color="DDDDDD" w:sz="1"/>
            </w:tcBorders>
            <w:shd w:fill="F2F4F7" w:val="clear"/>
            <w:tcMar>
              <w:top w:type="dxa" w:w="80"/>
              <w:left w:type="dxa" w:w="100"/>
              <w:bottom w:type="dxa" w:w="80"/>
              <w:right w:type="dxa" w:w="100"/>
            </w:tcMar>
          </w:tcPr>
          <w:p>
            <w:r>
              <w:rPr>
                <w:rFonts w:ascii="Arial" w:cs="Arial" w:eastAsia="Arial" w:hAnsi="Arial"/>
                <w:color w:val="1A1A1A"/>
                <w:sz w:val="19"/>
                <w:szCs w:val="19"/>
              </w:rPr>
              <w:t xml:space="preserve">Execute formal credential revocation, data destruction, and documentation procedures upon contract conclusion.</w:t>
            </w:r>
          </w:p>
        </w:tc>
      </w:tr>
    </w:tbl>
    <w:p>
      <w:pPr>
        <w:spacing w:after="0" w:before="80"/>
      </w:pPr>
      <w:r>
        <w:t xml:space="preserve"/>
      </w:r>
    </w:p>
    <w:p>
      <w:pPr>
        <w:spacing w:after="80" w:before="80" w:line="320"/>
      </w:pPr>
      <w:r>
        <w:rPr>
          <w:rFonts w:ascii="Arial" w:cs="Arial" w:eastAsia="Arial" w:hAnsi="Arial"/>
          <w:b w:val="false"/>
          <w:bCs w:val="false"/>
          <w:i w:val="false"/>
          <w:iCs w:val="false"/>
          <w:color w:val="1A1A1A"/>
          <w:sz w:val="22"/>
          <w:szCs w:val="22"/>
        </w:rPr>
        <w:t xml:space="preserve">Each stage reinforces the next — a disciplined cycle that reduces risk, supports regulatory defensibility, and builds long-term vendor accountability.</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6.8  Lessons Learned</w:t>
      </w:r>
    </w:p>
    <w:p>
      <w:pPr>
        <w:spacing w:after="100" w:before="200"/>
      </w:pPr>
      <w:r>
        <w:rPr>
          <w:rFonts w:ascii="Arial" w:cs="Arial" w:eastAsia="Arial" w:hAnsi="Arial"/>
          <w:b/>
          <w:bCs/>
          <w:color w:val="1B3A6B"/>
          <w:sz w:val="24"/>
          <w:szCs w:val="24"/>
        </w:rPr>
        <w:t xml:space="preserve">Risk Visibility Gaps Are Systemic</w:t>
      </w:r>
    </w:p>
    <w:p>
      <w:pPr>
        <w:spacing w:after="80" w:before="80" w:line="320"/>
      </w:pPr>
      <w:r>
        <w:rPr>
          <w:rFonts w:ascii="Arial" w:cs="Arial" w:eastAsia="Arial" w:hAnsi="Arial"/>
          <w:b w:val="false"/>
          <w:bCs w:val="false"/>
          <w:i w:val="false"/>
          <w:iCs w:val="false"/>
          <w:color w:val="1A1A1A"/>
          <w:sz w:val="22"/>
          <w:szCs w:val="22"/>
        </w:rPr>
        <w:t xml:space="preserve">Many vendor relationships had grown over years without formal oversight. A centralised vendor inventory with assigned risk owners is the essential first step — JHH cannot manage what it cannot see. The absence of a formal vendor registry was the single most significant structural gap identified at programme initiation.</w:t>
      </w:r>
    </w:p>
    <w:p>
      <w:pPr>
        <w:spacing w:after="0" w:before="80"/>
      </w:pPr>
      <w:r>
        <w:t xml:space="preserve"/>
      </w:r>
    </w:p>
    <w:p>
      <w:pPr>
        <w:spacing w:after="100" w:before="200"/>
      </w:pPr>
      <w:r>
        <w:rPr>
          <w:rFonts w:ascii="Arial" w:cs="Arial" w:eastAsia="Arial" w:hAnsi="Arial"/>
          <w:b/>
          <w:bCs/>
          <w:color w:val="1B3A6B"/>
          <w:sz w:val="24"/>
          <w:szCs w:val="24"/>
        </w:rPr>
        <w:t xml:space="preserve">Compliance Does Not Equal Security</w:t>
      </w:r>
    </w:p>
    <w:p>
      <w:pPr>
        <w:spacing w:after="80" w:before="80" w:line="320"/>
      </w:pPr>
      <w:r>
        <w:rPr>
          <w:rFonts w:ascii="Arial" w:cs="Arial" w:eastAsia="Arial" w:hAnsi="Arial"/>
          <w:b w:val="false"/>
          <w:bCs w:val="false"/>
          <w:i w:val="false"/>
          <w:iCs w:val="false"/>
          <w:color w:val="1A1A1A"/>
          <w:sz w:val="22"/>
          <w:szCs w:val="22"/>
        </w:rPr>
        <w:t xml:space="preserve">Several vendors held valid certifications yet had observable control deficiencies when examined at depth. Certifications are a floor, not a ceiling. Continuous monitoring and contractual accountability mechanisms are equally critical and cannot be replaced by periodic certification renewal.</w:t>
      </w:r>
    </w:p>
    <w:p>
      <w:pPr>
        <w:spacing w:after="0" w:before="80"/>
      </w:pPr>
      <w:r>
        <w:t xml:space="preserve"/>
      </w:r>
    </w:p>
    <w:p>
      <w:pPr>
        <w:spacing w:after="100" w:before="200"/>
      </w:pPr>
      <w:r>
        <w:rPr>
          <w:rFonts w:ascii="Arial" w:cs="Arial" w:eastAsia="Arial" w:hAnsi="Arial"/>
          <w:b/>
          <w:bCs/>
          <w:color w:val="1B3A6B"/>
          <w:sz w:val="24"/>
          <w:szCs w:val="24"/>
        </w:rPr>
        <w:t xml:space="preserve">Cross-Functional Collaboration Is Non-Negotiable</w:t>
      </w:r>
    </w:p>
    <w:p>
      <w:pPr>
        <w:spacing w:after="80" w:before="80" w:line="320"/>
      </w:pPr>
      <w:r>
        <w:rPr>
          <w:rFonts w:ascii="Arial" w:cs="Arial" w:eastAsia="Arial" w:hAnsi="Arial"/>
          <w:b w:val="false"/>
          <w:bCs w:val="false"/>
          <w:i w:val="false"/>
          <w:iCs w:val="false"/>
          <w:color w:val="1A1A1A"/>
          <w:sz w:val="22"/>
          <w:szCs w:val="22"/>
        </w:rPr>
        <w:t xml:space="preserve">Effective TPRM requires Legal, IT, Compliance, Procurement, and Clinical Operations to work in concert. Siloed decision-making was identified as one of the greatest structural accelerants of third-party risk in healthcare. Programme governance must enforce cross-functional accountability from the outset.</w:t>
      </w:r>
    </w:p>
    <w:p>
      <w:pPr>
        <w:spacing w:after="0" w:before="80"/>
      </w:pPr>
      <w:r>
        <w:t xml:space="preserve"/>
      </w:r>
    </w:p>
    <w:p>
      <w:pPr>
        <w:spacing w:after="100" w:before="200"/>
      </w:pPr>
      <w:r>
        <w:rPr>
          <w:rFonts w:ascii="Arial" w:cs="Arial" w:eastAsia="Arial" w:hAnsi="Arial"/>
          <w:b/>
          <w:bCs/>
          <w:color w:val="1B3A6B"/>
          <w:sz w:val="24"/>
          <w:szCs w:val="24"/>
        </w:rPr>
        <w:t xml:space="preserve">Regulators Expect a Living Programme</w:t>
      </w:r>
    </w:p>
    <w:p>
      <w:pPr>
        <w:spacing w:after="80" w:before="80" w:line="320"/>
      </w:pPr>
      <w:r>
        <w:rPr>
          <w:rFonts w:ascii="Arial" w:cs="Arial" w:eastAsia="Arial" w:hAnsi="Arial"/>
          <w:b w:val="false"/>
          <w:bCs w:val="false"/>
          <w:i w:val="false"/>
          <w:iCs w:val="false"/>
          <w:color w:val="1A1A1A"/>
          <w:sz w:val="22"/>
          <w:szCs w:val="22"/>
        </w:rPr>
        <w:t xml:space="preserve">OCR enforcement actions increasingly target organisations that lack documented, ongoing vendor oversight. An annual review cycle is no longer sufficient to demonstrate a culture of compliance. JHH must invest in the systems, resources, and processes to sustain a continuously active TPRM programme.</w:t>
      </w:r>
    </w:p>
    <w:p>
      <w:pPr>
        <w:spacing w:after="0" w:before="120"/>
      </w:pPr>
      <w:r>
        <w:t xml:space="preserve"/>
      </w:r>
    </w:p>
    <w:p>
      <w:pPr>
        <w:pStyle w:val="Heading2"/>
        <w:spacing w:after="140" w:before="280"/>
      </w:pPr>
      <w:r>
        <w:rPr>
          <w:rFonts w:ascii="Arial" w:cs="Arial" w:eastAsia="Arial" w:hAnsi="Arial"/>
          <w:b/>
          <w:bCs/>
          <w:color w:val="0D7377"/>
          <w:sz w:val="28"/>
          <w:szCs w:val="28"/>
        </w:rPr>
        <w:t xml:space="preserve">6.9  Vendor Risk Improvement Checklist</w:t>
      </w:r>
    </w:p>
    <w:p>
      <w:pPr>
        <w:spacing w:after="100" w:before="200"/>
      </w:pPr>
      <w:r>
        <w:rPr>
          <w:rFonts w:ascii="Arial" w:cs="Arial" w:eastAsia="Arial" w:hAnsi="Arial"/>
          <w:b/>
          <w:bCs/>
          <w:color w:val="1B3A6B"/>
          <w:sz w:val="24"/>
          <w:szCs w:val="24"/>
        </w:rPr>
        <w:t xml:space="preserve">Immediate Actions (0–30 Days)</w:t>
      </w:r>
    </w:p>
    <w:p>
      <w:pPr>
        <w:pStyle w:val="ListParagraph"/>
        <w:numPr>
          <w:ilvl w:val="0"/>
          <w:numId w:val="2"/>
        </w:numPr>
        <w:spacing w:after="60" w:before="60"/>
      </w:pPr>
      <w:r>
        <w:rPr>
          <w:rFonts w:ascii="Arial" w:cs="Arial" w:eastAsia="Arial" w:hAnsi="Arial"/>
          <w:color w:val="1A1A1A"/>
          <w:sz w:val="22"/>
          <w:szCs w:val="22"/>
        </w:rPr>
        <w:t xml:space="preserve">Execute BAAs with all 3 high-risk vendors.</w:t>
      </w:r>
    </w:p>
    <w:p>
      <w:pPr>
        <w:pStyle w:val="ListParagraph"/>
        <w:numPr>
          <w:ilvl w:val="0"/>
          <w:numId w:val="2"/>
        </w:numPr>
        <w:spacing w:after="60" w:before="60"/>
      </w:pPr>
      <w:r>
        <w:rPr>
          <w:rFonts w:ascii="Arial" w:cs="Arial" w:eastAsia="Arial" w:hAnsi="Arial"/>
          <w:color w:val="1A1A1A"/>
          <w:sz w:val="22"/>
          <w:szCs w:val="22"/>
        </w:rPr>
        <w:t xml:space="preserve">Suspend PHI data sharing pending BAA execution.</w:t>
      </w:r>
    </w:p>
    <w:p>
      <w:pPr>
        <w:pStyle w:val="ListParagraph"/>
        <w:numPr>
          <w:ilvl w:val="0"/>
          <w:numId w:val="2"/>
        </w:numPr>
        <w:spacing w:after="60" w:before="60"/>
      </w:pPr>
      <w:r>
        <w:rPr>
          <w:rFonts w:ascii="Arial" w:cs="Arial" w:eastAsia="Arial" w:hAnsi="Arial"/>
          <w:color w:val="1A1A1A"/>
          <w:sz w:val="22"/>
          <w:szCs w:val="22"/>
        </w:rPr>
        <w:t xml:space="preserve">Revoke all unreviewed vendor credentials.</w:t>
      </w:r>
    </w:p>
    <w:p>
      <w:pPr>
        <w:pStyle w:val="ListParagraph"/>
        <w:numPr>
          <w:ilvl w:val="0"/>
          <w:numId w:val="2"/>
        </w:numPr>
        <w:spacing w:after="60" w:before="60"/>
      </w:pPr>
      <w:r>
        <w:rPr>
          <w:rFonts w:ascii="Arial" w:cs="Arial" w:eastAsia="Arial" w:hAnsi="Arial"/>
          <w:color w:val="1A1A1A"/>
          <w:sz w:val="22"/>
          <w:szCs w:val="22"/>
        </w:rPr>
        <w:t xml:space="preserve">Eliminate all identified shared vendor accounts.</w:t>
      </w:r>
    </w:p>
    <w:p>
      <w:pPr>
        <w:pStyle w:val="ListParagraph"/>
        <w:numPr>
          <w:ilvl w:val="0"/>
          <w:numId w:val="2"/>
        </w:numPr>
        <w:spacing w:after="60" w:before="60"/>
      </w:pPr>
      <w:r>
        <w:rPr>
          <w:rFonts w:ascii="Arial" w:cs="Arial" w:eastAsia="Arial" w:hAnsi="Arial"/>
          <w:color w:val="1A1A1A"/>
          <w:sz w:val="22"/>
          <w:szCs w:val="22"/>
        </w:rPr>
        <w:t xml:space="preserve">Assign a dedicated TPRM programme owner within the organisation.</w:t>
      </w:r>
    </w:p>
    <w:p>
      <w:pPr>
        <w:spacing w:after="0" w:before="80"/>
      </w:pPr>
      <w:r>
        <w:t xml:space="preserve"/>
      </w:r>
    </w:p>
    <w:p>
      <w:pPr>
        <w:spacing w:after="100" w:before="200"/>
      </w:pPr>
      <w:r>
        <w:rPr>
          <w:rFonts w:ascii="Arial" w:cs="Arial" w:eastAsia="Arial" w:hAnsi="Arial"/>
          <w:b/>
          <w:bCs/>
          <w:color w:val="1B3A6B"/>
          <w:sz w:val="24"/>
          <w:szCs w:val="24"/>
        </w:rPr>
        <w:t xml:space="preserve">Short-Term Actions (31–60 Days)</w:t>
      </w:r>
    </w:p>
    <w:p>
      <w:pPr>
        <w:pStyle w:val="ListParagraph"/>
        <w:numPr>
          <w:ilvl w:val="0"/>
          <w:numId w:val="2"/>
        </w:numPr>
        <w:spacing w:after="60" w:before="60"/>
      </w:pPr>
      <w:r>
        <w:rPr>
          <w:rFonts w:ascii="Arial" w:cs="Arial" w:eastAsia="Arial" w:hAnsi="Arial"/>
          <w:color w:val="1A1A1A"/>
          <w:sz w:val="22"/>
          <w:szCs w:val="22"/>
        </w:rPr>
        <w:t xml:space="preserve">Update vendor contracts with security SLA clauses.</w:t>
      </w:r>
    </w:p>
    <w:p>
      <w:pPr>
        <w:pStyle w:val="ListParagraph"/>
        <w:numPr>
          <w:ilvl w:val="0"/>
          <w:numId w:val="2"/>
        </w:numPr>
        <w:spacing w:after="60" w:before="60"/>
      </w:pPr>
      <w:r>
        <w:rPr>
          <w:rFonts w:ascii="Arial" w:cs="Arial" w:eastAsia="Arial" w:hAnsi="Arial"/>
          <w:color w:val="1A1A1A"/>
          <w:sz w:val="22"/>
          <w:szCs w:val="22"/>
        </w:rPr>
        <w:t xml:space="preserve">Deploy or evaluate an automated vendor monitoring platform.</w:t>
      </w:r>
    </w:p>
    <w:p>
      <w:pPr>
        <w:pStyle w:val="ListParagraph"/>
        <w:numPr>
          <w:ilvl w:val="0"/>
          <w:numId w:val="2"/>
        </w:numPr>
        <w:spacing w:after="60" w:before="60"/>
      </w:pPr>
      <w:r>
        <w:rPr>
          <w:rFonts w:ascii="Arial" w:cs="Arial" w:eastAsia="Arial" w:hAnsi="Arial"/>
          <w:color w:val="1A1A1A"/>
          <w:sz w:val="22"/>
          <w:szCs w:val="22"/>
        </w:rPr>
        <w:t xml:space="preserve">Build a centralised vendor inventory with assigned risk tiers.</w:t>
      </w:r>
    </w:p>
    <w:p>
      <w:pPr>
        <w:pStyle w:val="ListParagraph"/>
        <w:numPr>
          <w:ilvl w:val="0"/>
          <w:numId w:val="2"/>
        </w:numPr>
        <w:spacing w:after="60" w:before="60"/>
      </w:pPr>
      <w:r>
        <w:rPr>
          <w:rFonts w:ascii="Arial" w:cs="Arial" w:eastAsia="Arial" w:hAnsi="Arial"/>
          <w:color w:val="1A1A1A"/>
          <w:sz w:val="22"/>
          <w:szCs w:val="22"/>
        </w:rPr>
        <w:t xml:space="preserve">Define and publish a formal vendor onboarding checklist.</w:t>
      </w:r>
    </w:p>
    <w:p>
      <w:pPr>
        <w:spacing w:after="0" w:before="80"/>
      </w:pPr>
      <w:r>
        <w:t xml:space="preserve"/>
      </w:r>
    </w:p>
    <w:p>
      <w:pPr>
        <w:spacing w:after="100" w:before="200"/>
      </w:pPr>
      <w:r>
        <w:rPr>
          <w:rFonts w:ascii="Arial" w:cs="Arial" w:eastAsia="Arial" w:hAnsi="Arial"/>
          <w:b/>
          <w:bCs/>
          <w:color w:val="1B3A6B"/>
          <w:sz w:val="24"/>
          <w:szCs w:val="24"/>
        </w:rPr>
        <w:t xml:space="preserve">Medium-Term Actions (61–90 Days)</w:t>
      </w:r>
    </w:p>
    <w:p>
      <w:pPr>
        <w:pStyle w:val="ListParagraph"/>
        <w:numPr>
          <w:ilvl w:val="0"/>
          <w:numId w:val="2"/>
        </w:numPr>
        <w:spacing w:after="60" w:before="60"/>
      </w:pPr>
      <w:r>
        <w:rPr>
          <w:rFonts w:ascii="Arial" w:cs="Arial" w:eastAsia="Arial" w:hAnsi="Arial"/>
          <w:color w:val="1A1A1A"/>
          <w:sz w:val="22"/>
          <w:szCs w:val="22"/>
        </w:rPr>
        <w:t xml:space="preserve">Conduct a joint incident response tabletop exercise with high-risk vendors.</w:t>
      </w:r>
    </w:p>
    <w:p>
      <w:pPr>
        <w:pStyle w:val="ListParagraph"/>
        <w:numPr>
          <w:ilvl w:val="0"/>
          <w:numId w:val="2"/>
        </w:numPr>
        <w:spacing w:after="60" w:before="60"/>
      </w:pPr>
      <w:r>
        <w:rPr>
          <w:rFonts w:ascii="Arial" w:cs="Arial" w:eastAsia="Arial" w:hAnsi="Arial"/>
          <w:color w:val="1A1A1A"/>
          <w:sz w:val="22"/>
          <w:szCs w:val="22"/>
        </w:rPr>
        <w:t xml:space="preserve">Formalise a vendor offboarding standard operating procedure.</w:t>
      </w:r>
    </w:p>
    <w:p>
      <w:pPr>
        <w:pStyle w:val="ListParagraph"/>
        <w:numPr>
          <w:ilvl w:val="0"/>
          <w:numId w:val="2"/>
        </w:numPr>
        <w:spacing w:after="60" w:before="60"/>
      </w:pPr>
      <w:r>
        <w:rPr>
          <w:rFonts w:ascii="Arial" w:cs="Arial" w:eastAsia="Arial" w:hAnsi="Arial"/>
          <w:color w:val="1A1A1A"/>
          <w:sz w:val="22"/>
          <w:szCs w:val="22"/>
        </w:rPr>
        <w:t xml:space="preserve">Schedule an annual vendor risk reassessment cadence.</w:t>
      </w:r>
    </w:p>
    <w:p>
      <w:pPr>
        <w:pStyle w:val="ListParagraph"/>
        <w:numPr>
          <w:ilvl w:val="0"/>
          <w:numId w:val="2"/>
        </w:numPr>
        <w:spacing w:after="60" w:before="60"/>
      </w:pPr>
      <w:r>
        <w:rPr>
          <w:rFonts w:ascii="Arial" w:cs="Arial" w:eastAsia="Arial" w:hAnsi="Arial"/>
          <w:color w:val="1A1A1A"/>
          <w:sz w:val="22"/>
          <w:szCs w:val="22"/>
        </w:rPr>
        <w:t xml:space="preserve">Deliver TPRM awareness training to procurement and contracting staff.</w:t>
      </w:r>
    </w:p>
    <w:p>
      <w:pPr>
        <w:spacing w:after="0" w:before="80"/>
      </w:pPr>
      <w:r>
        <w:t xml:space="preserve"/>
      </w:r>
    </w:p>
    <w:p>
      <w:pPr>
        <w:spacing w:after="100" w:before="200"/>
      </w:pPr>
      <w:r>
        <w:rPr>
          <w:rFonts w:ascii="Arial" w:cs="Arial" w:eastAsia="Arial" w:hAnsi="Arial"/>
          <w:b/>
          <w:bCs/>
          <w:color w:val="1B3A6B"/>
          <w:sz w:val="24"/>
          <w:szCs w:val="24"/>
        </w:rPr>
        <w:t xml:space="preserve">Ongoing Programme Commitments</w:t>
      </w:r>
    </w:p>
    <w:p>
      <w:pPr>
        <w:pStyle w:val="ListParagraph"/>
        <w:numPr>
          <w:ilvl w:val="0"/>
          <w:numId w:val="2"/>
        </w:numPr>
        <w:spacing w:after="60" w:before="60"/>
      </w:pPr>
      <w:r>
        <w:rPr>
          <w:rFonts w:ascii="Arial" w:cs="Arial" w:eastAsia="Arial" w:hAnsi="Arial"/>
          <w:color w:val="1A1A1A"/>
          <w:sz w:val="22"/>
          <w:szCs w:val="22"/>
        </w:rPr>
        <w:t xml:space="preserve">Quarterly vendor risk scorecard review with senior leadership.</w:t>
      </w:r>
    </w:p>
    <w:p>
      <w:pPr>
        <w:pStyle w:val="ListParagraph"/>
        <w:numPr>
          <w:ilvl w:val="0"/>
          <w:numId w:val="2"/>
        </w:numPr>
        <w:spacing w:after="60" w:before="60"/>
      </w:pPr>
      <w:r>
        <w:rPr>
          <w:rFonts w:ascii="Arial" w:cs="Arial" w:eastAsia="Arial" w:hAnsi="Arial"/>
          <w:color w:val="1A1A1A"/>
          <w:sz w:val="22"/>
          <w:szCs w:val="22"/>
        </w:rPr>
        <w:t xml:space="preserve">Annual BAA and contract audit across all active vendors.</w:t>
      </w:r>
    </w:p>
    <w:p>
      <w:pPr>
        <w:pStyle w:val="ListParagraph"/>
        <w:numPr>
          <w:ilvl w:val="0"/>
          <w:numId w:val="2"/>
        </w:numPr>
        <w:spacing w:after="60" w:before="60"/>
      </w:pPr>
      <w:r>
        <w:rPr>
          <w:rFonts w:ascii="Arial" w:cs="Arial" w:eastAsia="Arial" w:hAnsi="Arial"/>
          <w:color w:val="1A1A1A"/>
          <w:sz w:val="22"/>
          <w:szCs w:val="22"/>
        </w:rPr>
        <w:t xml:space="preserve">Monthly continuous monitoring dashboard review.</w:t>
      </w:r>
    </w:p>
    <w:p>
      <w:pPr>
        <w:pStyle w:val="ListParagraph"/>
        <w:numPr>
          <w:ilvl w:val="0"/>
          <w:numId w:val="2"/>
        </w:numPr>
        <w:spacing w:after="60" w:before="60"/>
      </w:pPr>
      <w:r>
        <w:rPr>
          <w:rFonts w:ascii="Arial" w:cs="Arial" w:eastAsia="Arial" w:hAnsi="Arial"/>
          <w:color w:val="1A1A1A"/>
          <w:sz w:val="22"/>
          <w:szCs w:val="22"/>
        </w:rPr>
        <w:t xml:space="preserve">Semi-annual Board-level reporting on third-party risk posture.</w:t>
      </w:r>
    </w:p>
    <w:p>
      <w:r>
        <w:br w:type="page"/>
      </w:r>
    </w:p>
    <w:p>
      <w:pPr>
        <w:pStyle w:val="Heading1"/>
        <w:pBdr>
          <w:bottom w:val="single" w:color="1B3A6B" w:sz="4" w:space="6"/>
        </w:pBdr>
        <w:spacing w:after="200" w:before="400"/>
      </w:pPr>
      <w:r>
        <w:rPr>
          <w:rFonts w:ascii="Arial" w:cs="Arial" w:eastAsia="Arial" w:hAnsi="Arial"/>
          <w:b/>
          <w:bCs/>
          <w:color w:val="1B3A6B"/>
          <w:sz w:val="36"/>
          <w:szCs w:val="36"/>
        </w:rPr>
        <w:t xml:space="preserve">Conclusion</w:t>
      </w:r>
    </w:p>
    <w:p>
      <w:pPr>
        <w:spacing w:after="80" w:before="80" w:line="320"/>
      </w:pPr>
      <w:r>
        <w:rPr>
          <w:rFonts w:ascii="Arial" w:cs="Arial" w:eastAsia="Arial" w:hAnsi="Arial"/>
          <w:b w:val="false"/>
          <w:bCs w:val="false"/>
          <w:i w:val="false"/>
          <w:iCs w:val="false"/>
          <w:color w:val="1A1A1A"/>
          <w:sz w:val="22"/>
          <w:szCs w:val="22"/>
        </w:rPr>
        <w:t xml:space="preserve">The six-week TPRM engagement at Johns Hopkins Hospital has produced a comprehensive, evidence-based vendor risk management programme aligned with the regulatory requirements governing healthcare data protection. From the initial policy review and vendor inventory in Week 1 through to the executive briefing and programme closure checklist in Week 6, each phase has contributed a structured layer to what is now a defensible, continuously monitored TPRM infrastructure.</w:t>
      </w:r>
    </w:p>
    <w:p>
      <w:pPr>
        <w:spacing w:after="0" w:before="80"/>
      </w:pPr>
      <w:r>
        <w:t xml:space="preserve"/>
      </w:r>
    </w:p>
    <w:p>
      <w:pPr>
        <w:spacing w:after="80" w:before="80" w:line="320"/>
      </w:pPr>
      <w:r>
        <w:rPr>
          <w:rFonts w:ascii="Arial" w:cs="Arial" w:eastAsia="Arial" w:hAnsi="Arial"/>
          <w:b w:val="false"/>
          <w:bCs w:val="false"/>
          <w:i w:val="false"/>
          <w:iCs w:val="false"/>
          <w:color w:val="1A1A1A"/>
          <w:sz w:val="22"/>
          <w:szCs w:val="22"/>
        </w:rPr>
        <w:t xml:space="preserve">Three overarching conclusions emerge from this engagement:</w:t>
      </w:r>
    </w:p>
    <w:p>
      <w:pPr>
        <w:spacing w:after="0" w:before="80"/>
      </w:pPr>
      <w:r>
        <w:t xml:space="preserve"/>
      </w:r>
    </w:p>
    <w:p>
      <w:pPr>
        <w:spacing w:after="100" w:before="200"/>
      </w:pPr>
      <w:r>
        <w:rPr>
          <w:rFonts w:ascii="Arial" w:cs="Arial" w:eastAsia="Arial" w:hAnsi="Arial"/>
          <w:b/>
          <w:bCs/>
          <w:color w:val="1B3A6B"/>
          <w:sz w:val="24"/>
          <w:szCs w:val="24"/>
        </w:rPr>
        <w:t xml:space="preserve">1. Act on High-Risk Findings Now</w:t>
      </w:r>
    </w:p>
    <w:p>
      <w:pPr>
        <w:spacing w:after="80" w:before="80" w:line="320"/>
      </w:pPr>
      <w:r>
        <w:rPr>
          <w:rFonts w:ascii="Arial" w:cs="Arial" w:eastAsia="Arial" w:hAnsi="Arial"/>
          <w:b w:val="false"/>
          <w:bCs w:val="false"/>
          <w:i w:val="false"/>
          <w:iCs w:val="false"/>
          <w:color w:val="1A1A1A"/>
          <w:sz w:val="22"/>
          <w:szCs w:val="22"/>
        </w:rPr>
        <w:t xml:space="preserve">Three vendors represent immediate regulatory and reputational exposure for Johns Hopkins Hospital. BAA execution and access remediation cannot be deferred to the next planning cycle. These actions must be initiated within 30 days of this briefing.</w:t>
      </w:r>
    </w:p>
    <w:p>
      <w:pPr>
        <w:spacing w:after="0" w:before="80"/>
      </w:pPr>
      <w:r>
        <w:t xml:space="preserve"/>
      </w:r>
    </w:p>
    <w:p>
      <w:pPr>
        <w:spacing w:after="100" w:before="200"/>
      </w:pPr>
      <w:r>
        <w:rPr>
          <w:rFonts w:ascii="Arial" w:cs="Arial" w:eastAsia="Arial" w:hAnsi="Arial"/>
          <w:b/>
          <w:bCs/>
          <w:color w:val="1B3A6B"/>
          <w:sz w:val="24"/>
          <w:szCs w:val="24"/>
        </w:rPr>
        <w:t xml:space="preserve">2. Invest in a Sustainable TPRM Programme</w:t>
      </w:r>
    </w:p>
    <w:p>
      <w:pPr>
        <w:spacing w:after="80" w:before="80" w:line="320"/>
      </w:pPr>
      <w:r>
        <w:rPr>
          <w:rFonts w:ascii="Arial" w:cs="Arial" w:eastAsia="Arial" w:hAnsi="Arial"/>
          <w:b w:val="false"/>
          <w:bCs w:val="false"/>
          <w:i w:val="false"/>
          <w:iCs w:val="false"/>
          <w:color w:val="1A1A1A"/>
          <w:sz w:val="22"/>
          <w:szCs w:val="22"/>
        </w:rPr>
        <w:t xml:space="preserve">Point-in-time assessments are structurally insufficient. Continuous monitoring, clearly defined lifecycle stages, cross-functional ownership, and automated tooling are the hallmarks of a programme that will withstand OCR scrutiny and protect patient data over time.</w:t>
      </w:r>
    </w:p>
    <w:p>
      <w:pPr>
        <w:spacing w:after="0" w:before="80"/>
      </w:pPr>
      <w:r>
        <w:t xml:space="preserve"/>
      </w:r>
    </w:p>
    <w:p>
      <w:pPr>
        <w:spacing w:after="100" w:before="200"/>
      </w:pPr>
      <w:r>
        <w:rPr>
          <w:rFonts w:ascii="Arial" w:cs="Arial" w:eastAsia="Arial" w:hAnsi="Arial"/>
          <w:b/>
          <w:bCs/>
          <w:color w:val="1B3A6B"/>
          <w:sz w:val="24"/>
          <w:szCs w:val="24"/>
        </w:rPr>
        <w:t xml:space="preserve">3. Align Risk Management with Strategic Goals</w:t>
      </w:r>
    </w:p>
    <w:p>
      <w:pPr>
        <w:spacing w:after="80" w:before="80" w:line="320"/>
      </w:pPr>
      <w:r>
        <w:rPr>
          <w:rFonts w:ascii="Arial" w:cs="Arial" w:eastAsia="Arial" w:hAnsi="Arial"/>
          <w:b w:val="false"/>
          <w:bCs w:val="false"/>
          <w:i w:val="false"/>
          <w:iCs w:val="false"/>
          <w:color w:val="1A1A1A"/>
          <w:sz w:val="22"/>
          <w:szCs w:val="22"/>
        </w:rPr>
        <w:t xml:space="preserve">Third-party risk is not merely a compliance obligation — it is a patient safety issue and an organisational trust issue. Leadership visibility, board-level reporting, and cross-functional accountability must be built into the programme from the top down. The vendor ecosystem is an extension of JHH's own security posture, and it must be managed accordingly.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AF1FB" w:val="clear"/>
            <w:tcMar>
              <w:top w:type="dxa" w:w="120"/>
              <w:left w:type="dxa" w:w="200"/>
              <w:bottom w:type="dxa" w:w="120"/>
              <w:right w:type="dxa" w:w="200"/>
            </w:tcMar>
          </w:tcPr>
          <w:p>
            <w:r>
              <w:rPr>
                <w:rFonts w:ascii="Arial" w:cs="Arial" w:eastAsia="Arial" w:hAnsi="Arial"/>
                <w:i/>
                <w:iCs/>
                <w:color w:val="1B3A6B"/>
                <w:sz w:val="22"/>
                <w:szCs w:val="22"/>
              </w:rPr>
              <w:t xml:space="preserve">Programme Status: Final TPRM Report — Complete  |  Leadership Presentation Deck — Complete  |  Vendor Risk Improvement Checklist — Complete</w:t>
            </w:r>
          </w:p>
        </w:tc>
      </w:tr>
    </w:tbl>
    <w:p>
      <w:pPr>
        <w:spacing w:after="0" w:before="120"/>
      </w:pPr>
      <w:r>
        <w:t xml:space="preserve"/>
      </w:r>
    </w:p>
    <w:p>
      <w:pPr>
        <w:spacing w:after="80" w:before="80" w:line="320"/>
      </w:pPr>
      <w:r>
        <w:rPr>
          <w:rFonts w:ascii="Arial" w:cs="Arial" w:eastAsia="Arial" w:hAnsi="Arial"/>
          <w:b w:val="false"/>
          <w:bCs w:val="false"/>
          <w:i/>
          <w:iCs/>
          <w:color w:val="555555"/>
          <w:sz w:val="22"/>
          <w:szCs w:val="22"/>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360"/>
      </w:tabs>
      <w:spacing w:before="120"/>
    </w:pPr>
    <w:r>
      <w:rPr>
        <w:rFonts w:ascii="Arial" w:cs="Arial" w:eastAsia="Arial" w:hAnsi="Arial"/>
        <w:color w:val="555555"/>
        <w:sz w:val="18"/>
        <w:szCs w:val="18"/>
      </w:rPr>
      <w:t xml:space="preserve">TPRM Engagement Report  |  Confidential</w:t>
    </w:r>
    <w:r>
      <w:rPr>
        <w:rFonts w:ascii="Arial" w:cs="Arial" w:eastAsia="Arial" w:hAnsi="Arial"/>
        <w:color w:val="555555"/>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pPr>
    <w:r>
      <w:rPr>
        <w:rFonts w:ascii="Arial" w:cs="Arial" w:eastAsia="Arial" w:hAnsi="Arial"/>
        <w:color w:val="555555"/>
        <w:sz w:val="18"/>
        <w:szCs w:val="18"/>
      </w:rPr>
      <w:t xml:space="preserve">Johns Hopkins Hospital  |  Third-Party Risk Management Program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2026-05-26T11:30:37.328Z</dcterms:created>
  <dcterms:modified xsi:type="dcterms:W3CDTF">2026-05-26T11:30:37.340Z</dcterms:modified>
</cp:coreProperties>
</file>

<file path=docProps/custom.xml><?xml version="1.0" encoding="utf-8"?>
<Properties xmlns="http://schemas.openxmlformats.org/officeDocument/2006/custom-properties" xmlns:vt="http://schemas.openxmlformats.org/officeDocument/2006/docPropsVTypes"/>
</file>