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CEF22" w14:textId="04CBFA2A" w:rsidR="003F5C49" w:rsidRDefault="00296D89">
      <w:hyperlink r:id="rId4" w:history="1">
        <w:r>
          <w:rPr>
            <w:rStyle w:val="Hyperlink"/>
          </w:rPr>
          <w:t>FCC Adopts 'C-V2X' Auto Safety Spectrum Rules | Federal Communications Commission</w:t>
        </w:r>
      </w:hyperlink>
    </w:p>
    <w:sectPr w:rsidR="003F5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098F"/>
    <w:rsid w:val="00296D89"/>
    <w:rsid w:val="003F5C49"/>
    <w:rsid w:val="009E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96A8C2-FF15-4031-904E-4CE49BDF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96D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cc.gov/document/fcc-adopts-c-v2x-auto-safety-spectrum-r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>The University of Alabama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Akid Abrar</dc:creator>
  <cp:keywords/>
  <dc:description/>
  <cp:lastModifiedBy>Akid Abrar</cp:lastModifiedBy>
  <cp:revision>2</cp:revision>
  <dcterms:created xsi:type="dcterms:W3CDTF">2025-02-07T17:09:00Z</dcterms:created>
  <dcterms:modified xsi:type="dcterms:W3CDTF">2025-02-07T17:10:00Z</dcterms:modified>
</cp:coreProperties>
</file>