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List of Professors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Marc A. Dubé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marc.dube@uOttawa.ca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Clémence Fauteux-Lefebvre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cfauteux@uottawa.ca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Kathlyn Kirkwood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kathlyn.kirkwood@uottawa.ca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Sidney Omelon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bkruczek@uOttawa.ca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Jean-Philippe St-Pierre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jean-philippe.st-pierre@uottawa.ca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F. Handan Tezel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handan.tezel@uottawa.ca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Ming Liang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liang@genie.uottawa.ca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Michel Nganbe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mnganbe@uottawa.ca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François Robitaille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frobit@genie.uottawa.ca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Arnaud Weck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aweck@uOttawa.ca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Hanan Anis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hanis@uottawa.ca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Jeongwon Park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jpark2@uOttawa.ca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Bertrand Jodoin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jodoin@eng.uOttawa.ca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Arnaud Weck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aweck@uOttawa.ca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http://web5.uottawa.ca/www2/mcs-smc/media/experts-search-iframe-721-726.html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eb5.uottawa.ca/www2/mcs-smc/media/experts-search-iframe-721-72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