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</w:pPr>
      <w:r>
        <w:rPr>
          <w:b/>
          <w:bCs/>
          <w:color w:val="D6502F"/>
          <w:sz w:val="16"/>
          <w:szCs w:val="16"/>
        </w:rPr>
        <w:t xml:space="preserve">TEKNIK REFERANS DOKÜMANI · AĞUSTOS 2026</w:t>
      </w:r>
    </w:p>
    <w:p>
      <w:pPr>
        <w:spacing w:after="120"/>
      </w:pPr>
      <w:r>
        <w:rPr>
          <w:b/>
          <w:bCs/>
          <w:color w:val="16242E"/>
          <w:sz w:val="52"/>
          <w:szCs w:val="52"/>
        </w:rPr>
        <w:t xml:space="preserve">Gauge — MVP Mimarisi</w:t>
      </w:r>
    </w:p>
    <w:p>
      <w:pPr>
        <w:spacing w:after="160" w:line="276"/>
      </w:pPr>
      <w:r>
        <w:rPr>
          <w:color w:val="55616B"/>
          <w:sz w:val="24"/>
          <w:szCs w:val="24"/>
        </w:rPr>
        <w:t xml:space="preserve">Google, Meta ve AI motorlarındaki görünürlüğü tek skorda ölçen platformun uçtan uca MVP mimarisi — teknoloji yığını, veri kaynakları/API'ler, veritabanı şeması ve AI-izleme motoru.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Hedef: çalışan MVP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Süre: ~14–16 hafta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Ekip: 2–3 mühendis</w:t>
            </w:r>
          </w:p>
        </w:tc>
        <w:tc>
          <w:tcPr>
            <w:tcW w:type="dxa" w:w="234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Model: B2B SaaS · USD</w:t>
            </w:r>
          </w:p>
        </w:tc>
      </w:tr>
    </w:tbl>
    <w:p>
      <w:pPr>
        <w:spacing w:after="80" w:before="260"/>
      </w:pPr>
      <w:r>
        <w:rPr>
          <w:b/>
          <w:bCs/>
          <w:color w:val="16242E"/>
          <w:sz w:val="24"/>
          <w:szCs w:val="24"/>
        </w:rP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Özet — tek bakışta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Gauge üç kanalın görünürlük sinyalini toplayıp normalize eder ve tek "Gauge Skoru"na indirger. Ürün, veriyi topla → normalize et → puanla → aksiyon öner döngüsü üzerine kurulur. Kalbindeki iki zor problem: (1) yerel sıralama ölçümü (harita 3'lüsü + geo-grid), (2) AI motor görünürlüğü (markanın ChatGPT/Perplexity/Gemini/AI Overview cevaplarında anılıp anılmadığı).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Topla — </w:t>
      </w:r>
      <w:r>
        <w:t xml:space="preserve">Zamanlanmış işçiler GBP, harita/SERP sağlayıcıları, Meta ve AI motorlarını sorgular; ham yanıtları saklar.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Puanla — </w:t>
      </w:r>
      <w:r>
        <w:t xml:space="preserve">Kanal başına ağırlıklı normalize skor → tek 0–100 Gauge Skoru + zaman serisi.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Aksiyona çevir — </w:t>
      </w:r>
      <w:r>
        <w:t xml:space="preserve">LLM, boşlukları okuyup önceliklendirilmiş "üste çık &amp; sat" planı üretir.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1 · Sistem mimarisi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Klasik üç katman + bir asenkron işçi düzlemi. Kullanıcıya dönük API hızlı ve senkron kalır; tüm dış veri toplama (yavaş, kotalı, hataya açık) kuyruk üzerinden arka planda çalışır.</w:t>
      </w:r>
    </w:p>
    <w:p>
      <w:pPr>
        <w:spacing w:after="120" w:line="276"/>
      </w:pPr>
      <w:r>
        <w:rPr>
          <w:b/>
          <w:bCs/>
        </w:rPr>
        <w:t xml:space="preserve">Akış: </w:t>
      </w:r>
      <w:r>
        <w:t xml:space="preserve">İstemci (Web/Mobil) → API Gateway → Core API → PostgreSQL / Redis. Core API, işleri BullMQ kuyruğuna atar; işçiler dış kaynakları (Google Business Profile, SerpApi/DataForSEO, Meta, AI Engine Runner → OpenAI/Perplexity/Gemini/Claude) çağırır ve sonucu PostgreSQL + TimescaleDB'ye yazar.</w:t>
      </w:r>
    </w:p>
    <w:p>
      <w:pPr>
        <w:spacing w:after="120" w:line="276"/>
      </w:pPr>
      <w:r>
        <w:rPr>
          <w:b/>
          <w:bCs/>
        </w:rPr>
        <w:t xml:space="preserve">Neden ayrım? </w:t>
      </w:r>
      <w:r>
        <w:t xml:space="preserve">AI motorlarını ve SERP sağlayıcılarını sorgulamak saniyeler sürer ve kotaya takılır. Bu yükü kullanıcı isteğinden ayırmak, panelin her zaman önceden hesaplanmış veriyle anında açılmasını sağlar.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2 · Teknoloji yığını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İlke: tek dil (TypeScript) uçtan uca, yönetilen servisler, hızlı iterasyon.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100"/>
        <w:gridCol w:w="3260"/>
        <w:gridCol w:w="4000"/>
      </w:tblGrid>
      <w:tr>
        <w:trPr>
          <w:tblHeader/>
        </w:trPr>
        <w:tc>
          <w:tcPr>
            <w:tcW w:type="dxa" w:w="21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Katman</w:t>
            </w:r>
          </w:p>
        </w:tc>
        <w:tc>
          <w:tcPr>
            <w:tcW w:type="dxa" w:w="326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Seçim</w:t>
            </w:r>
          </w:p>
        </w:tc>
        <w:tc>
          <w:tcPr>
            <w:tcW w:type="dxa" w:w="40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Neden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Web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Next.js + Tailwind + Recharts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SSR + SEO (kendi organik büyümen için de kritik), hızlı panel UI.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Mobil (faz 2)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React Native / Expo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Web ile kod paylaşımı; MVP'de opsiyonel.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API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NestJS (Node/TS)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Modüler, DI, kuyruk/cron entegrasyonu kolay.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Kuyruk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Zamanlanmış &amp; oran-limitli işler için olgun, ucuz.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Veritabanı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PostgreSQL + TimescaleDB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İlişkisel çekirdek + sıralama/skor zaman serisi.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Auth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Clerk / Auth0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Org/çok-kullanıcı, SSO'yu kendin yazma.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Ödeme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Stripe Billing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Abonelik, USD, konum-başına ölçekleme.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 / LLM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Anthropic SDK (Claude)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Bahsedilme analizi + içgörü/aksiyon üretimi (§4).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Altyapı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Vercel + Fly.io/Render + Neon/Supabase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Yönetilen, ölçeklenen, düşük DevOps.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Gözlemleme</w:t>
            </w:r>
          </w:p>
        </w:tc>
        <w:tc>
          <w:tcPr>
            <w:tcW w:type="dxa" w:w="3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Sentry + Grafana/Logtail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İşçi hataları ve kota takibi kritik.</w:t>
            </w:r>
          </w:p>
        </w:tc>
      </w:tr>
    </w:tbl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3 · Veri kaynakları &amp; API'ler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MVP'nin en riskli parçası: doğru veriyi yasal ve sürdürülebilir çekmek. Kural — mümkün olan her yerde resmi API, olmayan yerde (özellikle AI Overview/SERP) lisanslı veri sağlayıcı; asla ToS ihlali scraping değil.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200"/>
        <w:gridCol w:w="3160"/>
        <w:gridCol w:w="4000"/>
      </w:tblGrid>
      <w:tr>
        <w:trPr>
          <w:tblHeader/>
        </w:trPr>
        <w:tc>
          <w:tcPr>
            <w:tcW w:type="dxa" w:w="22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Sinyal</w:t>
            </w:r>
          </w:p>
        </w:tc>
        <w:tc>
          <w:tcPr>
            <w:tcW w:type="dxa" w:w="316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Kaynak</w:t>
            </w:r>
          </w:p>
        </w:tc>
        <w:tc>
          <w:tcPr>
            <w:tcW w:type="dxa" w:w="40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Not / limit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İşletme profili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Google Business Profile API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Sahiplik doğrulaması (OAuth); ücretsiz, kotalı.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Yerel paket &amp; harita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SerpApi / DataForSEO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Sorgu başına ücret; geo-grid çok sorgu = maliyet.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Organik &amp; AI Overview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DataForSEO / SerpApi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 Overview alanı yeni; kapsamı doğrula.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Places / rakip keşfi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Google Places API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Lider tablosu &amp; keşif tarafını besler.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Meta görünürlük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Meta Graph + Marketing API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Kullanıcı OAuth ile kendi hesabını bağlar.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 motor cevapları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OpenAI · Perplexity · Gemini resmi API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Her motor ayrı kota/fiyat (§4).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Bot/crawler trafiği (faz 3)</w:t>
            </w:r>
          </w:p>
        </w:tc>
        <w:tc>
          <w:tcPr>
            <w:tcW w:type="dxa" w:w="3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Site log / Cloudflare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GPTBot, ClaudeBot ziyaretleri.</w:t>
            </w:r>
          </w:p>
        </w:tc>
      </w:tr>
    </w:tbl>
    <w:p>
      <w:pPr>
        <w:spacing w:after="120" w:line="276"/>
      </w:pPr>
      <w:r>
        <w:rPr>
          <w:b/>
          <w:bCs/>
          <w:color w:val="D6502F"/>
        </w:rPr>
        <w:t xml:space="preserve">Maliyet uyarısı: </w:t>
      </w:r>
      <w:r>
        <w:t xml:space="preserve">Geo-grid ve çok-motorlu AI izleme sorgu sayısını hızla büyütür (konum × şablon × motor × frekans). Plan bazlı kotayla sınırla, yoksa marj erir.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4 · AI-izleme motoru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Gauge'ı rakip yerel-SEO araçlarından ayıran çekirdek. Amaç: "Müşteri AI'ya kategorimi sorduğunda benim işletmem cevapta çıkıyor mu, kaçıncı sırada, hangi bağlamda?" sorusuna sayısal cevap.</w:t>
      </w:r>
    </w:p>
    <w:p>
      <w:pPr>
        <w:pStyle w:val="Heading2"/>
        <w:spacing w:after="100" w:before="220"/>
      </w:pPr>
      <w:r>
        <w:rPr>
          <w:b/>
          <w:bCs/>
          <w:color w:val="16242E"/>
          <w:sz w:val="24"/>
          <w:szCs w:val="24"/>
        </w:rPr>
        <w:t xml:space="preserve">Adım adım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Şablon üretimi. </w:t>
      </w:r>
      <w:r>
        <w:t xml:space="preserve">Kategori + konumdan sorgu seti: "[şehir]'da en iyi [kategori]", "[marka] güvenilir mi". Kullanıcı kendi şablonlarını da ekler.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Toplama. </w:t>
      </w:r>
      <w:r>
        <w:t xml:space="preserve">Her şablon her motorun resmi API'sine sorulur (OpenAI, Gemini, Perplexity; AI Overview için lisanslı SERP sağlayıcı). Oran-limitli, tekrar denemeli, ham saklanır.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Analiz (LLM). </w:t>
      </w:r>
      <w:r>
        <w:t xml:space="preserve">Ham cevap Claude'a verilir; yapılandırılmış çıktı: anılıyor mu, sıra, duygu, rakipler, kaynak. Yüksek hacim için claude-haiku-4-5; haftalık özet/aksiyon için claude-opus-5.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Depolama &amp; skor. </w:t>
      </w:r>
      <w:r>
        <w:t xml:space="preserve">Sonuç ai_mention tablosuna zaman damgalı yazılır; Gauge Score'un AI bileşenini besler; değişimler panele olay olarak düşer.</w:t>
      </w:r>
    </w:p>
    <w:p>
      <w:pPr>
        <w:spacing w:after="120" w:line="276"/>
      </w:pPr>
      <w:r>
        <w:rPr>
          <w:b/>
          <w:bCs/>
          <w:color w:val="0E7A6E"/>
        </w:rPr>
        <w:t xml:space="preserve">Neden LLM ile analiz? </w:t>
      </w:r>
      <w:r>
        <w:t xml:space="preserve">Serbest-metin cevabında markanın anılıp anılmadığını, olumlu mu, rakiplere göre sırasını regex'le tespit kırılgandır. LLM sınıflandırıcı bunu güvenilir ve Türkçe dahil dile duyarlı yapar.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5 · Gauge Score algoritması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Tek 0–100 skor, üç kanal alt-skorunun ağırlıklı ortalaması. Her kanal 0–100'e normalize edilir.</w:t>
      </w:r>
    </w:p>
    <w:p>
      <w:pPr>
        <w:spacing w:after="120" w:line="276"/>
      </w:pPr>
      <w:r>
        <w:rPr>
          <w:rFonts w:ascii="Consolas" w:cs="Consolas" w:eastAsia="Consolas" w:hAnsi="Consolas"/>
          <w:b/>
          <w:bCs/>
          <w:sz w:val="21"/>
          <w:szCs w:val="21"/>
        </w:rPr>
        <w:t xml:space="preserve">Gauge = 0.45·Google + 0.20·Meta + 0.35·AI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3000"/>
        <w:gridCol w:w="1360"/>
        <w:gridCol w:w="5000"/>
      </w:tblGrid>
      <w:tr>
        <w:trPr>
          <w:tblHeader/>
        </w:trPr>
        <w:tc>
          <w:tcPr>
            <w:tcW w:type="dxa" w:w="30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Kanal</w:t>
            </w:r>
          </w:p>
        </w:tc>
        <w:tc>
          <w:tcPr>
            <w:tcW w:type="dxa" w:w="136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Ağırlık</w:t>
            </w:r>
          </w:p>
        </w:tc>
        <w:tc>
          <w:tcPr>
            <w:tcW w:type="dxa" w:w="50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Girdi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Google görünürlük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%45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yerel paket, harita, geo-grid, organik, yorum.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 görünürlük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%35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anılma oranı, ortalama sıra, duygu, motor kapsama.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Meta / sosyal</w:t>
            </w:r>
          </w:p>
        </w:tc>
        <w:tc>
          <w:tcPr>
            <w:tcW w:type="dxa" w:w="1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%20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erişim, reklam CTR, aktiflik, etkileşim.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Normalize örneği: </w:t>
      </w:r>
      <w:r>
        <w:t xml:space="preserve">skor = max(0, 100 − (sıra − 1) × k). Konuma yayılı sıralamalar geo-grid kapsama oranıyla ağırlıklanır. Skorlar TimescaleDB'de günlük tutulur ("30 günde +6" deltası buradan gelir).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6 · Veritabanı şeması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İlişkisel çekirdek (org → konum → sorgu) + iki büyük zaman serisi tablosu (rank_snapshot, ai_mention) hypertable olarak.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Tablo</w:t>
            </w:r>
          </w:p>
        </w:tc>
        <w:tc>
          <w:tcPr>
            <w:tcW w:type="dxa" w:w="636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Rol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organization / user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Müşteri hesabı / ajans ve panel kullanıcıları.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location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İzlenen işletme konumu (faturalama birimi).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channel_connection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Bağlı GBP/Meta hesapları (şifreli token).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tracked_query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İzlenen sorgu/şablon (motorlar, frekans).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competitor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Kıyas seti (lider tablosu).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rank_snapshot ◷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Zaman serisi: sıralama ölçümleri (hypertable).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ai_mention ◷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Zaman serisi: AI motor sonuçları (hypertable).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score_history ◷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Günlük Gauge Skoru zaman serisi.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action_item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Aksiyon planı öğeleri (etki, beklenen artış).</w:t>
            </w:r>
          </w:p>
        </w:tc>
      </w:tr>
      <w:tr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63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Stripe abonelik durumu.</w:t>
            </w:r>
          </w:p>
        </w:tc>
      </w:tr>
    </w:tbl>
    <w:p>
      <w:pPr>
        <w:spacing w:after="120" w:line="276"/>
      </w:pPr>
      <w:r>
        <w:rPr>
          <w:i/>
          <w:iCs/>
          <w:color w:val="55616B"/>
          <w:sz w:val="18"/>
          <w:szCs w:val="18"/>
        </w:rPr>
        <w:t xml:space="preserve">◷ = TimescaleDB hypertable (zamana göre bölümlenir, eski veri sıkıştırılır).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7 · Backend &amp; API yüzeyi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REST (veya tRPC), NestJS servislerine ayrılır. Örnek uç noktalar: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GET /locations/:id/score — güncel Gauge Skoru + 30 günlük seri.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GET /locations/:id/channels — kanal sıralamaları ("kaçıncı sıradayım").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GET /locations/:id/geo-grid — semt ısı-ızgarası verisi.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GET /locations/:id/competitors — lider tablosu + senin sıran.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GET /locations/:id/ai-visibility — motor × sorgu anılma matrisi.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POST /locations/:id/queries — şablon izlemeye ekle.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POST /locations/:id/actions/refresh — LLM ile aksiyon planı üret.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color w:val="16242E"/>
          <w:sz w:val="21"/>
          <w:szCs w:val="21"/>
        </w:rPr>
        <w:t xml:space="preserve">POST /oauth/gbp · /oauth/meta — hesap bağlama akışları.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8 · İş kuyruğu &amp; zamanlama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Tüm dış veri toplama, plan bazlı frekansla zamanlanır. BullMQ tekrarlayan işleri yönetir; her iş oran-limitli ve idempotent.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100"/>
        <w:gridCol w:w="2260"/>
        <w:gridCol w:w="5000"/>
      </w:tblGrid>
      <w:tr>
        <w:trPr>
          <w:tblHeader/>
        </w:trPr>
        <w:tc>
          <w:tcPr>
            <w:tcW w:type="dxa" w:w="21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İş</w:t>
            </w:r>
          </w:p>
        </w:tc>
        <w:tc>
          <w:tcPr>
            <w:tcW w:type="dxa" w:w="226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Frekans</w:t>
            </w:r>
          </w:p>
        </w:tc>
        <w:tc>
          <w:tcPr>
            <w:tcW w:type="dxa" w:w="50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Yaptığı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rank:local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günlük/haftalık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yerel paket + harita + geo-grid ölçümü.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ai:track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haftalık/günlük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AI-izleme motoru boru hattı (§4).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meta:sync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günlük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Meta erişim/CTR/kampanya çekimi.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gbp:sync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günlük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yorum, puan, foto, içgörü güncelle.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score:compute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toplama sonrası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Gauge Skoru hesapla, seri yaz.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actions:generate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haftalık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LLM ile aksiyon planı yenile.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report:weekly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haftalık</w:t>
            </w:r>
          </w:p>
        </w:tc>
        <w:tc>
          <w:tcPr>
            <w:tcW w:type="dxa" w:w="5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e-posta/PDF rapor gönder.</w:t>
            </w:r>
          </w:p>
        </w:tc>
      </w:tr>
    </w:tbl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9 · MVP faz planı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2100"/>
        <w:gridCol w:w="5760"/>
        <w:gridCol w:w="1500"/>
      </w:tblGrid>
      <w:tr>
        <w:trPr>
          <w:tblHeader/>
        </w:trPr>
        <w:tc>
          <w:tcPr>
            <w:tcW w:type="dxa" w:w="21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Faz</w:t>
            </w:r>
          </w:p>
        </w:tc>
        <w:tc>
          <w:tcPr>
            <w:tcW w:type="dxa" w:w="576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Kapsam</w:t>
            </w:r>
          </w:p>
        </w:tc>
        <w:tc>
          <w:tcPr>
            <w:tcW w:type="dxa" w:w="15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Süre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Faz 1 · MVP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Auth, konum, GBP bağlama, yerel/harita sıralama, lider tablosu, tek skor, temel panel.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~6–7 hafta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Faz 2 · Fark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AI-izleme motoru: şablonlar, çok-motorlu toplama, Claude analizi, AI skoru, "AI beni öneriyor mu".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~4–5 hafta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Faz 3 · Derinlik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Geo-grid, Meta entegrasyonu, LLM aksiyon planı, haftalık rapor, Stripe.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~4 hafta</w:t>
            </w:r>
          </w:p>
        </w:tc>
      </w:tr>
      <w:tr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Faz 4 · Ölçek</w:t>
            </w:r>
          </w:p>
        </w:tc>
        <w:tc>
          <w:tcPr>
            <w:tcW w:type="dxa" w:w="57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Tüketici keşif tarafı, çok-konum/ajans, beyaz etiket, mobil, crawler-log.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devam eden</w:t>
            </w:r>
          </w:p>
        </w:tc>
      </w:tr>
    </w:tbl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10 · Maliyet &amp; birim ekonomi</w:t>
      </w:r>
    </w:p>
    <w:p>
      <w:pPr>
        <w:spacing w:after="120" w:line="276"/>
      </w:pPr>
      <w:r>
        <w:rPr>
          <w:color w:val="16242E"/>
          <w:sz w:val="21"/>
          <w:szCs w:val="21"/>
        </w:rPr>
        <w:t xml:space="preserve">Marjı belirleyen: konum başına dış API sorgu maliyeti. Kaba örnek (Growth, günlük, ~10 şablon, 4 motor, geo-grid):</w:t>
      </w:r>
    </w:p>
    <w:tbl>
      <w:tblPr>
        <w:tblW w:type="dxa" w:w="9360"/>
        <w:tblBorders>
          <w:top w:val="single" w:color="D9D2C4" w:sz="4"/>
          <w:left w:val="single" w:color="D9D2C4" w:sz="4"/>
          <w:bottom w:val="single" w:color="D9D2C4" w:sz="4"/>
          <w:right w:val="single" w:color="D9D2C4" w:sz="4"/>
          <w:insideH w:val="single" w:color="D9D2C4" w:sz="4"/>
          <w:insideV w:val="single" w:color="D9D2C4" w:sz="4"/>
        </w:tblBorders>
      </w:tblPr>
      <w:tblGrid>
        <w:gridCol w:w="3600"/>
        <w:gridCol w:w="2260"/>
        <w:gridCol w:w="3500"/>
      </w:tblGrid>
      <w:tr>
        <w:trPr>
          <w:tblHeader/>
        </w:trPr>
        <w:tc>
          <w:tcPr>
            <w:tcW w:type="dxa" w:w="36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Kalem</w:t>
            </w:r>
          </w:p>
        </w:tc>
        <w:tc>
          <w:tcPr>
            <w:tcW w:type="dxa" w:w="226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Aylık / konum</w:t>
            </w:r>
          </w:p>
        </w:tc>
        <w:tc>
          <w:tcPr>
            <w:tcW w:type="dxa" w:w="3500"/>
            <w:shd w:fill="F1EADD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55616B"/>
                <w:sz w:val="17"/>
                <w:szCs w:val="17"/>
              </w:rPr>
              <w:t xml:space="preserve">Not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SERP / harita (geo-grid dahil)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$4–12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Sorgu hacmiyle doğrusal — ana kalem.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AI motor API çağrıları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$2–6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Resmi API token maliyeti.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LLM analiz (Claude Haiku)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$0.5–2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Ucuz model + yapılandırılmış çıktı.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Altyapı payı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$1–3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Konum başına amortize.</w:t>
            </w:r>
          </w:p>
        </w:tc>
      </w:tr>
      <w:tr>
        <w:tc>
          <w:tcPr>
            <w:tcW w:type="dxa" w:w="3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b/>
                <w:bCs/>
                <w:color w:val="16242E"/>
                <w:sz w:val="19"/>
                <w:szCs w:val="19"/>
              </w:rPr>
              <w:t xml:space="preserve">» Toplam COGS ≈</w:t>
            </w:r>
          </w:p>
        </w:tc>
        <w:tc>
          <w:tcPr>
            <w:tcW w:type="dxa" w:w="22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$8–23 / konum</w:t>
            </w:r>
          </w:p>
        </w:tc>
        <w:tc>
          <w:tcPr>
            <w:tcW w:type="dxa" w:w="3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8"/>
            </w:pPr>
            <w:r>
              <w:rPr>
                <w:color w:val="16242E"/>
                <w:sz w:val="19"/>
                <w:szCs w:val="19"/>
              </w:rPr>
              <w:t xml:space="preserve">Growth $89 fiyatına karşı sağlıklı marj.</w:t>
            </w:r>
          </w:p>
        </w:tc>
      </w:tr>
    </w:tbl>
    <w:p>
      <w:pPr>
        <w:spacing w:after="120" w:line="276"/>
      </w:pPr>
      <w:r>
        <w:rPr>
          <w:b/>
          <w:bCs/>
          <w:color w:val="D6502F"/>
        </w:rPr>
        <w:t xml:space="preserve">Kritik kural: </w:t>
      </w:r>
      <w:r>
        <w:t xml:space="preserve">Sorgu frekansı &amp; şablon sayısını plana bağla. Starter haftalık + az şablon (COGS &lt; $5), Growth günlük, Agency toplu indirimli sağlayıcı anlaşması.</w:t>
      </w:r>
    </w:p>
    <w:p>
      <w:pPr>
        <w:pBdr>
          <w:bottom w:val="single" w:color="D9D2C4" w:sz="6"/>
        </w:pBdr>
        <w:spacing w:after="160" w:before="60"/>
      </w:pPr>
    </w:p>
    <w:p>
      <w:pPr>
        <w:pStyle w:val="Heading1"/>
        <w:spacing w:after="140" w:before="320"/>
      </w:pPr>
      <w:r>
        <w:rPr>
          <w:b/>
          <w:bCs/>
          <w:color w:val="16242E"/>
          <w:sz w:val="30"/>
          <w:szCs w:val="30"/>
        </w:rPr>
        <w:t xml:space="preserve">11 · Uyumluluk &amp; sınırlar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AI motorları: </w:t>
      </w:r>
      <w:r>
        <w:t xml:space="preserve">Ham arayüz scraping'i çoğu ToS'a aykırıdır. Resmi API kullan; AI Overview için lisanslı SERP sağlayıcı.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Google: </w:t>
      </w:r>
      <w:r>
        <w:t xml:space="preserve">GBP verisi işletme sahipliği (OAuth) gerektirir; Places/SERP verisi sağlayıcı üzerinden.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Meta: </w:t>
      </w:r>
      <w:r>
        <w:t xml:space="preserve">Kullanıcı kendi hesabını OAuth ile bağlar; token'ları şifreli sakla, en az yetki iste.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Veri koruma (KVKK/GDPR): </w:t>
      </w:r>
      <w:r>
        <w:t xml:space="preserve">Veri işleme sözleşmesi, saklama süresi, silme hakkı; token'lar vault'ta.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Doğruluk beyanı: </w:t>
      </w:r>
      <w:r>
        <w:t xml:space="preserve">AI/SERP sıralamaları anlık ve konuma göre değişkendir; ürün "tahmini görünürlük" der, mutlak garanti vermez.</w:t>
      </w:r>
    </w:p>
    <w:p>
      <w:pPr>
        <w:spacing w:after="120" w:line="276"/>
      </w:pPr>
      <w:r>
        <w:rPr>
          <w:b/>
          <w:bCs/>
          <w:color w:val="0E7A6E"/>
        </w:rPr>
        <w:t xml:space="preserve">Özet: </w:t>
      </w:r>
      <w:r>
        <w:t xml:space="preserve">Teknik risk düşük, veri-tedarik stratejisi yüksek önemli. Doğru sağlayıcı anlaşmaları + plan bazlı kota, hem yasal hem kârlı bir MVP'nin belkemiği.</w:t>
      </w:r>
    </w:p>
    <w:p>
      <w:pPr>
        <w:pBdr>
          <w:top w:val="single" w:color="D9D2C4" w:sz="6"/>
        </w:pBdr>
        <w:spacing w:before="300"/>
      </w:pPr>
      <w:r>
        <w:rPr>
          <w:i/>
          <w:iCs/>
          <w:color w:val="55616B"/>
          <w:sz w:val="17"/>
          <w:szCs w:val="17"/>
        </w:rPr>
        <w:t xml:space="preserve">Gauge — MVP Mimarisi · teknik referans · kavram dokümanı · Topla → Puanla → Aksiyona çevir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24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Gauge — MVP Mimarisi</dc:title>
  <dc:creator>Gauge</dc:creator>
  <dc:description>Gauge görünürlük SaaS'ı için MVP mimari dokümanı</dc:description>
  <cp:lastModifiedBy>Un-named</cp:lastModifiedBy>
  <cp:revision>1</cp:revision>
  <dcterms:created xsi:type="dcterms:W3CDTF">2026-08-28T20:20:06.089Z</dcterms:created>
  <dcterms:modified xsi:type="dcterms:W3CDTF">2026-08-28T20:20:06.089Z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